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4115" w14:textId="77777777" w:rsidR="00771A4F" w:rsidRDefault="000568B2">
      <w:pPr>
        <w:pStyle w:val="BodyText"/>
        <w:ind w:left="111"/>
        <w:rPr>
          <w:rFonts w:ascii="Times New Roman"/>
          <w:sz w:val="20"/>
        </w:rPr>
      </w:pPr>
      <w:r>
        <w:rPr>
          <w:rFonts w:ascii="Times New Roman"/>
          <w:noProof/>
          <w:sz w:val="20"/>
        </w:rPr>
        <w:drawing>
          <wp:inline distT="0" distB="0" distL="0" distR="0" wp14:anchorId="773C420B" wp14:editId="773C420C">
            <wp:extent cx="7100680" cy="11932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100680" cy="1193292"/>
                    </a:xfrm>
                    <a:prstGeom prst="rect">
                      <a:avLst/>
                    </a:prstGeom>
                  </pic:spPr>
                </pic:pic>
              </a:graphicData>
            </a:graphic>
          </wp:inline>
        </w:drawing>
      </w:r>
    </w:p>
    <w:p w14:paraId="773C4116" w14:textId="77777777" w:rsidR="00771A4F" w:rsidRDefault="00771A4F">
      <w:pPr>
        <w:pStyle w:val="BodyText"/>
        <w:rPr>
          <w:rFonts w:ascii="Times New Roman"/>
          <w:sz w:val="20"/>
        </w:rPr>
      </w:pPr>
    </w:p>
    <w:p w14:paraId="773C4117" w14:textId="77777777" w:rsidR="00771A4F" w:rsidRDefault="00771A4F">
      <w:pPr>
        <w:pStyle w:val="BodyText"/>
        <w:rPr>
          <w:rFonts w:ascii="Times New Roman"/>
          <w:sz w:val="20"/>
        </w:rPr>
      </w:pPr>
    </w:p>
    <w:p w14:paraId="773C4118" w14:textId="77777777" w:rsidR="00771A4F" w:rsidRDefault="00771A4F">
      <w:pPr>
        <w:pStyle w:val="BodyText"/>
        <w:rPr>
          <w:rFonts w:ascii="Times New Roman"/>
          <w:sz w:val="20"/>
        </w:rPr>
      </w:pPr>
    </w:p>
    <w:p w14:paraId="773C4119" w14:textId="77777777" w:rsidR="00771A4F" w:rsidRDefault="000568B2">
      <w:pPr>
        <w:pStyle w:val="BodyText"/>
        <w:spacing w:before="9"/>
        <w:rPr>
          <w:rFonts w:ascii="Times New Roman"/>
          <w:sz w:val="15"/>
        </w:rPr>
      </w:pPr>
      <w:r>
        <w:rPr>
          <w:noProof/>
        </w:rPr>
        <w:drawing>
          <wp:anchor distT="0" distB="0" distL="0" distR="0" simplePos="0" relativeHeight="251658240" behindDoc="0" locked="0" layoutInCell="1" allowOverlap="1" wp14:anchorId="773C420D" wp14:editId="773C420E">
            <wp:simplePos x="0" y="0"/>
            <wp:positionH relativeFrom="page">
              <wp:posOffset>1355978</wp:posOffset>
            </wp:positionH>
            <wp:positionV relativeFrom="paragraph">
              <wp:posOffset>130720</wp:posOffset>
            </wp:positionV>
            <wp:extent cx="4834172" cy="65532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34172" cy="655320"/>
                    </a:xfrm>
                    <a:prstGeom prst="rect">
                      <a:avLst/>
                    </a:prstGeom>
                  </pic:spPr>
                </pic:pic>
              </a:graphicData>
            </a:graphic>
          </wp:anchor>
        </w:drawing>
      </w:r>
    </w:p>
    <w:p w14:paraId="773C411A" w14:textId="77777777" w:rsidR="00771A4F" w:rsidRDefault="00771A4F">
      <w:pPr>
        <w:pStyle w:val="BodyText"/>
        <w:rPr>
          <w:rFonts w:ascii="Times New Roman"/>
          <w:sz w:val="20"/>
        </w:rPr>
      </w:pPr>
    </w:p>
    <w:p w14:paraId="773C411B" w14:textId="77777777" w:rsidR="00771A4F" w:rsidRDefault="00771A4F">
      <w:pPr>
        <w:pStyle w:val="BodyText"/>
        <w:rPr>
          <w:rFonts w:ascii="Times New Roman"/>
          <w:sz w:val="20"/>
        </w:rPr>
      </w:pPr>
    </w:p>
    <w:p w14:paraId="773C411C" w14:textId="77777777" w:rsidR="00771A4F" w:rsidRDefault="00771A4F">
      <w:pPr>
        <w:pStyle w:val="BodyText"/>
        <w:rPr>
          <w:rFonts w:ascii="Times New Roman"/>
          <w:sz w:val="20"/>
        </w:rPr>
      </w:pPr>
    </w:p>
    <w:p w14:paraId="773C411D" w14:textId="77777777" w:rsidR="00771A4F" w:rsidRDefault="00771A4F">
      <w:pPr>
        <w:pStyle w:val="BodyText"/>
        <w:rPr>
          <w:rFonts w:ascii="Times New Roman"/>
          <w:sz w:val="20"/>
        </w:rPr>
      </w:pPr>
    </w:p>
    <w:p w14:paraId="773C411E" w14:textId="77777777" w:rsidR="00771A4F" w:rsidRDefault="00771A4F">
      <w:pPr>
        <w:pStyle w:val="BodyText"/>
        <w:rPr>
          <w:rFonts w:ascii="Times New Roman"/>
          <w:sz w:val="20"/>
        </w:rPr>
      </w:pPr>
    </w:p>
    <w:p w14:paraId="773C411F" w14:textId="77777777" w:rsidR="00771A4F" w:rsidRDefault="00771A4F">
      <w:pPr>
        <w:pStyle w:val="BodyText"/>
        <w:rPr>
          <w:rFonts w:ascii="Times New Roman"/>
          <w:sz w:val="20"/>
        </w:rPr>
      </w:pPr>
    </w:p>
    <w:p w14:paraId="773C4120" w14:textId="77777777" w:rsidR="00771A4F" w:rsidRDefault="00771A4F">
      <w:pPr>
        <w:pStyle w:val="BodyText"/>
        <w:rPr>
          <w:rFonts w:ascii="Times New Roman"/>
          <w:sz w:val="20"/>
        </w:rPr>
      </w:pPr>
    </w:p>
    <w:p w14:paraId="773C4121" w14:textId="77777777" w:rsidR="00771A4F" w:rsidRDefault="00771A4F">
      <w:pPr>
        <w:pStyle w:val="BodyText"/>
        <w:rPr>
          <w:rFonts w:ascii="Times New Roman"/>
          <w:sz w:val="20"/>
        </w:rPr>
      </w:pPr>
    </w:p>
    <w:p w14:paraId="773C4122" w14:textId="77777777" w:rsidR="00771A4F" w:rsidRDefault="00771A4F">
      <w:pPr>
        <w:pStyle w:val="BodyText"/>
        <w:rPr>
          <w:rFonts w:ascii="Times New Roman"/>
          <w:sz w:val="20"/>
        </w:rPr>
      </w:pPr>
    </w:p>
    <w:p w14:paraId="773C4123" w14:textId="77777777" w:rsidR="00771A4F" w:rsidRDefault="00771A4F">
      <w:pPr>
        <w:pStyle w:val="BodyText"/>
        <w:rPr>
          <w:rFonts w:ascii="Times New Roman"/>
          <w:sz w:val="20"/>
        </w:rPr>
      </w:pPr>
    </w:p>
    <w:p w14:paraId="773C4124" w14:textId="77777777" w:rsidR="00771A4F" w:rsidRDefault="00771A4F">
      <w:pPr>
        <w:pStyle w:val="BodyText"/>
        <w:rPr>
          <w:rFonts w:ascii="Times New Roman"/>
          <w:sz w:val="20"/>
        </w:rPr>
      </w:pPr>
    </w:p>
    <w:p w14:paraId="773C4125" w14:textId="77777777" w:rsidR="00771A4F" w:rsidRDefault="00771A4F">
      <w:pPr>
        <w:pStyle w:val="BodyText"/>
        <w:rPr>
          <w:rFonts w:ascii="Times New Roman"/>
          <w:sz w:val="20"/>
        </w:rPr>
      </w:pPr>
    </w:p>
    <w:p w14:paraId="773C4126" w14:textId="77777777" w:rsidR="00771A4F" w:rsidRDefault="00771A4F">
      <w:pPr>
        <w:pStyle w:val="BodyText"/>
        <w:rPr>
          <w:rFonts w:ascii="Times New Roman"/>
          <w:sz w:val="20"/>
        </w:rPr>
      </w:pPr>
    </w:p>
    <w:p w14:paraId="773C4127" w14:textId="4F084D37" w:rsidR="00771A4F" w:rsidRDefault="000568B2">
      <w:pPr>
        <w:spacing w:before="127"/>
        <w:ind w:left="6387"/>
        <w:rPr>
          <w:rFonts w:ascii="Calibri Light"/>
          <w:sz w:val="44"/>
        </w:rPr>
      </w:pPr>
      <w:r>
        <w:rPr>
          <w:rFonts w:ascii="Calibri Light"/>
          <w:color w:val="773AA9"/>
          <w:spacing w:val="-4"/>
          <w:sz w:val="44"/>
        </w:rPr>
        <w:t>ANNUAL</w:t>
      </w:r>
      <w:r>
        <w:rPr>
          <w:rFonts w:ascii="Calibri Light"/>
          <w:color w:val="773AA9"/>
          <w:spacing w:val="-21"/>
          <w:sz w:val="44"/>
        </w:rPr>
        <w:t xml:space="preserve"> </w:t>
      </w:r>
      <w:r>
        <w:rPr>
          <w:rFonts w:ascii="Calibri Light"/>
          <w:color w:val="773AA9"/>
          <w:spacing w:val="-4"/>
          <w:sz w:val="44"/>
        </w:rPr>
        <w:t>REPORT</w:t>
      </w:r>
      <w:r>
        <w:rPr>
          <w:rFonts w:ascii="Calibri Light"/>
          <w:color w:val="773AA9"/>
          <w:spacing w:val="-19"/>
          <w:sz w:val="44"/>
        </w:rPr>
        <w:t xml:space="preserve"> </w:t>
      </w:r>
      <w:r>
        <w:rPr>
          <w:rFonts w:ascii="Calibri Light"/>
          <w:color w:val="773AA9"/>
          <w:spacing w:val="-4"/>
          <w:sz w:val="44"/>
        </w:rPr>
        <w:t>20</w:t>
      </w:r>
      <w:r w:rsidR="004B1845">
        <w:rPr>
          <w:rFonts w:ascii="Calibri Light"/>
          <w:color w:val="773AA9"/>
          <w:spacing w:val="-4"/>
          <w:sz w:val="44"/>
        </w:rPr>
        <w:t>22</w:t>
      </w:r>
    </w:p>
    <w:p w14:paraId="773C4128" w14:textId="77777777" w:rsidR="00771A4F" w:rsidRDefault="039A9477" w:rsidP="6B28B114">
      <w:pPr>
        <w:ind w:left="2738"/>
        <w:rPr>
          <w:rFonts w:ascii="Calibri Light"/>
          <w:sz w:val="44"/>
          <w:szCs w:val="44"/>
        </w:rPr>
      </w:pPr>
      <w:r w:rsidRPr="6B28B114">
        <w:rPr>
          <w:rFonts w:ascii="Calibri Light"/>
          <w:color w:val="773AA9"/>
          <w:spacing w:val="-2"/>
          <w:sz w:val="44"/>
          <w:szCs w:val="44"/>
        </w:rPr>
        <w:t>Northwest</w:t>
      </w:r>
      <w:r w:rsidR="000568B2" w:rsidRPr="6B28B114">
        <w:rPr>
          <w:rFonts w:ascii="Calibri Light"/>
          <w:color w:val="773AA9"/>
          <w:spacing w:val="-22"/>
          <w:sz w:val="44"/>
          <w:szCs w:val="44"/>
        </w:rPr>
        <w:t xml:space="preserve"> </w:t>
      </w:r>
      <w:r w:rsidR="000568B2" w:rsidRPr="6B28B114">
        <w:rPr>
          <w:rFonts w:ascii="Calibri Light"/>
          <w:color w:val="773AA9"/>
          <w:spacing w:val="-2"/>
          <w:sz w:val="44"/>
          <w:szCs w:val="44"/>
        </w:rPr>
        <w:t>Police</w:t>
      </w:r>
      <w:r w:rsidR="000568B2" w:rsidRPr="6B28B114">
        <w:rPr>
          <w:rFonts w:ascii="Calibri Light"/>
          <w:color w:val="773AA9"/>
          <w:spacing w:val="-23"/>
          <w:sz w:val="44"/>
          <w:szCs w:val="44"/>
        </w:rPr>
        <w:t xml:space="preserve"> </w:t>
      </w:r>
      <w:r w:rsidR="000568B2" w:rsidRPr="6B28B114">
        <w:rPr>
          <w:rFonts w:ascii="Calibri Light"/>
          <w:color w:val="773AA9"/>
          <w:spacing w:val="-2"/>
          <w:sz w:val="44"/>
          <w:szCs w:val="44"/>
        </w:rPr>
        <w:t>Pensions</w:t>
      </w:r>
      <w:r w:rsidR="000568B2" w:rsidRPr="6B28B114">
        <w:rPr>
          <w:rFonts w:ascii="Calibri Light"/>
          <w:color w:val="773AA9"/>
          <w:spacing w:val="-22"/>
          <w:sz w:val="44"/>
          <w:szCs w:val="44"/>
        </w:rPr>
        <w:t xml:space="preserve"> </w:t>
      </w:r>
      <w:r w:rsidR="000568B2" w:rsidRPr="6B28B114">
        <w:rPr>
          <w:rFonts w:ascii="Calibri Light"/>
          <w:color w:val="773AA9"/>
          <w:spacing w:val="-2"/>
          <w:sz w:val="44"/>
          <w:szCs w:val="44"/>
        </w:rPr>
        <w:t>Board</w:t>
      </w:r>
      <w:r w:rsidR="000568B2" w:rsidRPr="6B28B114">
        <w:rPr>
          <w:rFonts w:ascii="Calibri Light"/>
          <w:color w:val="773AA9"/>
          <w:spacing w:val="-21"/>
          <w:sz w:val="44"/>
          <w:szCs w:val="44"/>
        </w:rPr>
        <w:t xml:space="preserve"> </w:t>
      </w:r>
      <w:r w:rsidR="000568B2" w:rsidRPr="6B28B114">
        <w:rPr>
          <w:rFonts w:ascii="Calibri Light"/>
          <w:color w:val="773AA9"/>
          <w:spacing w:val="-2"/>
          <w:sz w:val="44"/>
          <w:szCs w:val="44"/>
        </w:rPr>
        <w:t>(NWPPB)</w:t>
      </w:r>
    </w:p>
    <w:p w14:paraId="773C4129" w14:textId="77777777" w:rsidR="00771A4F" w:rsidRDefault="00771A4F">
      <w:pPr>
        <w:pStyle w:val="BodyText"/>
        <w:rPr>
          <w:rFonts w:ascii="Calibri Light"/>
          <w:sz w:val="20"/>
        </w:rPr>
      </w:pPr>
    </w:p>
    <w:p w14:paraId="773C412A" w14:textId="77777777" w:rsidR="00771A4F" w:rsidRDefault="00771A4F">
      <w:pPr>
        <w:pStyle w:val="BodyText"/>
        <w:rPr>
          <w:rFonts w:ascii="Calibri Light"/>
          <w:sz w:val="20"/>
        </w:rPr>
      </w:pPr>
    </w:p>
    <w:p w14:paraId="773C412B" w14:textId="77777777" w:rsidR="00771A4F" w:rsidRDefault="00771A4F">
      <w:pPr>
        <w:pStyle w:val="BodyText"/>
        <w:rPr>
          <w:rFonts w:ascii="Calibri Light"/>
          <w:sz w:val="20"/>
        </w:rPr>
      </w:pPr>
    </w:p>
    <w:p w14:paraId="773C412C" w14:textId="77777777" w:rsidR="00771A4F" w:rsidRDefault="00771A4F">
      <w:pPr>
        <w:pStyle w:val="BodyText"/>
        <w:rPr>
          <w:rFonts w:ascii="Calibri Light"/>
          <w:sz w:val="20"/>
        </w:rPr>
      </w:pPr>
    </w:p>
    <w:p w14:paraId="773C412D" w14:textId="77777777" w:rsidR="00771A4F" w:rsidRDefault="00771A4F">
      <w:pPr>
        <w:pStyle w:val="BodyText"/>
        <w:rPr>
          <w:rFonts w:ascii="Calibri Light"/>
          <w:sz w:val="20"/>
        </w:rPr>
      </w:pPr>
    </w:p>
    <w:p w14:paraId="773C412E" w14:textId="77777777" w:rsidR="00771A4F" w:rsidRDefault="00771A4F">
      <w:pPr>
        <w:pStyle w:val="BodyText"/>
        <w:rPr>
          <w:rFonts w:ascii="Calibri Light"/>
          <w:sz w:val="20"/>
        </w:rPr>
      </w:pPr>
    </w:p>
    <w:p w14:paraId="773C412F" w14:textId="77777777" w:rsidR="00771A4F" w:rsidRDefault="00771A4F">
      <w:pPr>
        <w:pStyle w:val="BodyText"/>
        <w:rPr>
          <w:rFonts w:ascii="Calibri Light"/>
          <w:sz w:val="20"/>
        </w:rPr>
      </w:pPr>
    </w:p>
    <w:p w14:paraId="773C4130" w14:textId="77777777" w:rsidR="00771A4F" w:rsidRDefault="00771A4F">
      <w:pPr>
        <w:pStyle w:val="BodyText"/>
        <w:rPr>
          <w:rFonts w:ascii="Calibri Light"/>
          <w:sz w:val="20"/>
        </w:rPr>
      </w:pPr>
    </w:p>
    <w:p w14:paraId="773C4131" w14:textId="77777777" w:rsidR="00771A4F" w:rsidRDefault="00771A4F">
      <w:pPr>
        <w:pStyle w:val="BodyText"/>
        <w:rPr>
          <w:rFonts w:ascii="Calibri Light"/>
          <w:sz w:val="20"/>
        </w:rPr>
      </w:pPr>
    </w:p>
    <w:p w14:paraId="773C4132" w14:textId="77777777" w:rsidR="00771A4F" w:rsidRDefault="00771A4F">
      <w:pPr>
        <w:pStyle w:val="BodyText"/>
        <w:rPr>
          <w:rFonts w:ascii="Calibri Light"/>
          <w:sz w:val="20"/>
        </w:rPr>
      </w:pPr>
    </w:p>
    <w:p w14:paraId="773C4133" w14:textId="77777777" w:rsidR="00771A4F" w:rsidRDefault="00771A4F">
      <w:pPr>
        <w:pStyle w:val="BodyText"/>
        <w:rPr>
          <w:rFonts w:ascii="Calibri Light"/>
          <w:sz w:val="20"/>
        </w:rPr>
      </w:pPr>
    </w:p>
    <w:p w14:paraId="773C4134" w14:textId="77777777" w:rsidR="00771A4F" w:rsidRDefault="00771A4F">
      <w:pPr>
        <w:pStyle w:val="BodyText"/>
        <w:rPr>
          <w:rFonts w:ascii="Calibri Light"/>
          <w:sz w:val="20"/>
        </w:rPr>
      </w:pPr>
    </w:p>
    <w:p w14:paraId="773C4135" w14:textId="77777777" w:rsidR="00771A4F" w:rsidRDefault="00771A4F">
      <w:pPr>
        <w:pStyle w:val="BodyText"/>
        <w:rPr>
          <w:rFonts w:ascii="Calibri Light"/>
          <w:sz w:val="20"/>
        </w:rPr>
      </w:pPr>
    </w:p>
    <w:p w14:paraId="773C4136" w14:textId="77777777" w:rsidR="00771A4F" w:rsidRDefault="00771A4F">
      <w:pPr>
        <w:pStyle w:val="BodyText"/>
        <w:spacing w:before="10"/>
        <w:rPr>
          <w:rFonts w:ascii="Calibri Light"/>
          <w:sz w:val="15"/>
        </w:rPr>
      </w:pPr>
    </w:p>
    <w:p w14:paraId="773C4137" w14:textId="77777777" w:rsidR="00771A4F" w:rsidRDefault="000568B2">
      <w:pPr>
        <w:pStyle w:val="Heading2"/>
        <w:ind w:right="1193"/>
      </w:pPr>
      <w:r>
        <w:rPr>
          <w:color w:val="585858"/>
        </w:rPr>
        <w:t>A</w:t>
      </w:r>
      <w:r>
        <w:rPr>
          <w:color w:val="585858"/>
          <w:spacing w:val="-6"/>
        </w:rPr>
        <w:t xml:space="preserve"> </w:t>
      </w:r>
      <w:r>
        <w:rPr>
          <w:color w:val="585858"/>
        </w:rPr>
        <w:t>report</w:t>
      </w:r>
      <w:r>
        <w:rPr>
          <w:color w:val="585858"/>
          <w:spacing w:val="-4"/>
        </w:rPr>
        <w:t xml:space="preserve"> </w:t>
      </w:r>
      <w:r>
        <w:rPr>
          <w:color w:val="585858"/>
        </w:rPr>
        <w:t>on</w:t>
      </w:r>
      <w:r>
        <w:rPr>
          <w:color w:val="585858"/>
          <w:spacing w:val="-3"/>
        </w:rPr>
        <w:t xml:space="preserve"> </w:t>
      </w:r>
      <w:r>
        <w:rPr>
          <w:color w:val="585858"/>
        </w:rPr>
        <w:t>the</w:t>
      </w:r>
      <w:r>
        <w:rPr>
          <w:color w:val="585858"/>
          <w:spacing w:val="-4"/>
        </w:rPr>
        <w:t xml:space="preserve"> </w:t>
      </w:r>
      <w:r>
        <w:rPr>
          <w:color w:val="585858"/>
        </w:rPr>
        <w:t>activities</w:t>
      </w:r>
      <w:r>
        <w:rPr>
          <w:color w:val="585858"/>
          <w:spacing w:val="-4"/>
        </w:rPr>
        <w:t xml:space="preserve"> </w:t>
      </w:r>
      <w:r>
        <w:rPr>
          <w:color w:val="585858"/>
        </w:rPr>
        <w:t>of</w:t>
      </w:r>
      <w:r>
        <w:rPr>
          <w:color w:val="585858"/>
          <w:spacing w:val="-4"/>
        </w:rPr>
        <w:t xml:space="preserve"> </w:t>
      </w:r>
      <w:r>
        <w:rPr>
          <w:color w:val="585858"/>
        </w:rPr>
        <w:t>the</w:t>
      </w:r>
      <w:r>
        <w:rPr>
          <w:color w:val="585858"/>
          <w:spacing w:val="-3"/>
        </w:rPr>
        <w:t xml:space="preserve"> </w:t>
      </w:r>
      <w:r>
        <w:rPr>
          <w:color w:val="585858"/>
        </w:rPr>
        <w:t>NWPPB</w:t>
      </w:r>
      <w:r>
        <w:rPr>
          <w:color w:val="585858"/>
          <w:spacing w:val="-3"/>
        </w:rPr>
        <w:t xml:space="preserve"> </w:t>
      </w:r>
      <w:r>
        <w:rPr>
          <w:color w:val="585858"/>
        </w:rPr>
        <w:t>during</w:t>
      </w:r>
      <w:r>
        <w:rPr>
          <w:color w:val="585858"/>
          <w:spacing w:val="-5"/>
        </w:rPr>
        <w:t xml:space="preserve"> </w:t>
      </w:r>
      <w:r>
        <w:rPr>
          <w:color w:val="585858"/>
        </w:rPr>
        <w:t>the</w:t>
      </w:r>
      <w:r>
        <w:rPr>
          <w:color w:val="585858"/>
          <w:spacing w:val="-3"/>
        </w:rPr>
        <w:t xml:space="preserve"> </w:t>
      </w:r>
      <w:r>
        <w:rPr>
          <w:color w:val="585858"/>
        </w:rPr>
        <w:t>financial</w:t>
      </w:r>
      <w:r>
        <w:rPr>
          <w:color w:val="585858"/>
          <w:spacing w:val="-3"/>
        </w:rPr>
        <w:t xml:space="preserve"> </w:t>
      </w:r>
      <w:r>
        <w:rPr>
          <w:color w:val="585858"/>
          <w:spacing w:val="-4"/>
        </w:rPr>
        <w:t>year</w:t>
      </w:r>
    </w:p>
    <w:p w14:paraId="773C4138" w14:textId="03D49FB5" w:rsidR="00771A4F" w:rsidRDefault="000568B2">
      <w:pPr>
        <w:pStyle w:val="Heading2"/>
        <w:spacing w:before="1"/>
        <w:ind w:right="1188"/>
      </w:pPr>
      <w:r>
        <w:rPr>
          <w:color w:val="585858"/>
        </w:rPr>
        <w:t>April</w:t>
      </w:r>
      <w:r>
        <w:rPr>
          <w:color w:val="585858"/>
          <w:spacing w:val="-2"/>
        </w:rPr>
        <w:t xml:space="preserve"> </w:t>
      </w:r>
      <w:r w:rsidR="00925970">
        <w:rPr>
          <w:color w:val="585858"/>
        </w:rPr>
        <w:t>2021</w:t>
      </w:r>
      <w:r>
        <w:rPr>
          <w:color w:val="585858"/>
          <w:spacing w:val="-3"/>
        </w:rPr>
        <w:t xml:space="preserve"> </w:t>
      </w:r>
      <w:r>
        <w:rPr>
          <w:color w:val="585858"/>
        </w:rPr>
        <w:t>–</w:t>
      </w:r>
      <w:r>
        <w:rPr>
          <w:color w:val="585858"/>
          <w:spacing w:val="-3"/>
        </w:rPr>
        <w:t xml:space="preserve"> </w:t>
      </w:r>
      <w:r>
        <w:rPr>
          <w:color w:val="585858"/>
        </w:rPr>
        <w:t>March</w:t>
      </w:r>
      <w:r>
        <w:rPr>
          <w:color w:val="585858"/>
          <w:spacing w:val="-1"/>
        </w:rPr>
        <w:t xml:space="preserve"> </w:t>
      </w:r>
      <w:r w:rsidR="00C53AE2">
        <w:rPr>
          <w:color w:val="585858"/>
          <w:spacing w:val="-4"/>
        </w:rPr>
        <w:t>2022</w:t>
      </w:r>
    </w:p>
    <w:p w14:paraId="773C4139" w14:textId="77777777" w:rsidR="00771A4F" w:rsidRDefault="00771A4F">
      <w:pPr>
        <w:pStyle w:val="BodyText"/>
        <w:rPr>
          <w:b/>
          <w:sz w:val="20"/>
        </w:rPr>
      </w:pPr>
    </w:p>
    <w:p w14:paraId="773C413A" w14:textId="77777777" w:rsidR="00771A4F" w:rsidRDefault="00771A4F">
      <w:pPr>
        <w:pStyle w:val="BodyText"/>
        <w:rPr>
          <w:b/>
          <w:sz w:val="20"/>
        </w:rPr>
      </w:pPr>
    </w:p>
    <w:p w14:paraId="773C413B" w14:textId="77777777" w:rsidR="00771A4F" w:rsidRDefault="00771A4F">
      <w:pPr>
        <w:pStyle w:val="BodyText"/>
        <w:rPr>
          <w:b/>
          <w:sz w:val="20"/>
        </w:rPr>
      </w:pPr>
    </w:p>
    <w:p w14:paraId="773C413C" w14:textId="77777777" w:rsidR="00771A4F" w:rsidRDefault="00771A4F">
      <w:pPr>
        <w:pStyle w:val="BodyText"/>
        <w:rPr>
          <w:b/>
          <w:sz w:val="20"/>
        </w:rPr>
      </w:pPr>
    </w:p>
    <w:p w14:paraId="773C413D" w14:textId="77777777" w:rsidR="00771A4F" w:rsidRDefault="00771A4F">
      <w:pPr>
        <w:pStyle w:val="BodyText"/>
        <w:rPr>
          <w:b/>
          <w:sz w:val="20"/>
        </w:rPr>
      </w:pPr>
    </w:p>
    <w:p w14:paraId="773C413E" w14:textId="77777777" w:rsidR="00771A4F" w:rsidRDefault="00771A4F">
      <w:pPr>
        <w:pStyle w:val="BodyText"/>
        <w:rPr>
          <w:b/>
          <w:sz w:val="20"/>
        </w:rPr>
      </w:pPr>
    </w:p>
    <w:p w14:paraId="773C413F" w14:textId="77777777" w:rsidR="00771A4F" w:rsidRDefault="00771A4F">
      <w:pPr>
        <w:pStyle w:val="BodyText"/>
        <w:rPr>
          <w:b/>
          <w:sz w:val="20"/>
        </w:rPr>
      </w:pPr>
    </w:p>
    <w:p w14:paraId="773C4140" w14:textId="77777777" w:rsidR="00771A4F" w:rsidRDefault="00771A4F">
      <w:pPr>
        <w:pStyle w:val="BodyText"/>
        <w:spacing w:before="7"/>
        <w:rPr>
          <w:b/>
          <w:sz w:val="28"/>
        </w:rPr>
      </w:pPr>
    </w:p>
    <w:p w14:paraId="773C4141" w14:textId="77777777" w:rsidR="00771A4F" w:rsidRDefault="000568B2">
      <w:pPr>
        <w:pStyle w:val="Heading2"/>
      </w:pPr>
      <w:r>
        <w:rPr>
          <w:color w:val="585858"/>
        </w:rPr>
        <w:t>Fiona</w:t>
      </w:r>
      <w:r>
        <w:rPr>
          <w:color w:val="585858"/>
          <w:spacing w:val="-4"/>
        </w:rPr>
        <w:t xml:space="preserve"> </w:t>
      </w:r>
      <w:r>
        <w:rPr>
          <w:color w:val="585858"/>
        </w:rPr>
        <w:t>Daley,</w:t>
      </w:r>
      <w:r>
        <w:rPr>
          <w:color w:val="585858"/>
          <w:spacing w:val="-5"/>
        </w:rPr>
        <w:t xml:space="preserve"> </w:t>
      </w:r>
      <w:r>
        <w:rPr>
          <w:color w:val="585858"/>
          <w:spacing w:val="-2"/>
        </w:rPr>
        <w:t>Chair</w:t>
      </w:r>
    </w:p>
    <w:p w14:paraId="773C4142" w14:textId="77777777" w:rsidR="00771A4F" w:rsidRDefault="00771A4F">
      <w:pPr>
        <w:sectPr w:rsidR="00771A4F">
          <w:type w:val="continuous"/>
          <w:pgSz w:w="11910" w:h="16840"/>
          <w:pgMar w:top="360" w:right="240" w:bottom="280" w:left="240" w:header="720" w:footer="720" w:gutter="0"/>
          <w:cols w:space="720"/>
        </w:sectPr>
      </w:pPr>
    </w:p>
    <w:p w14:paraId="773C4143" w14:textId="77777777" w:rsidR="00771A4F" w:rsidRDefault="00771A4F">
      <w:pPr>
        <w:pStyle w:val="BodyText"/>
        <w:rPr>
          <w:b/>
          <w:sz w:val="20"/>
        </w:rPr>
      </w:pPr>
    </w:p>
    <w:p w14:paraId="773C4144" w14:textId="77777777" w:rsidR="00771A4F" w:rsidRDefault="00771A4F">
      <w:pPr>
        <w:pStyle w:val="BodyText"/>
        <w:rPr>
          <w:b/>
          <w:sz w:val="20"/>
        </w:rPr>
      </w:pPr>
    </w:p>
    <w:p w14:paraId="773C4145" w14:textId="77777777" w:rsidR="00771A4F" w:rsidRDefault="00771A4F">
      <w:pPr>
        <w:pStyle w:val="BodyText"/>
        <w:rPr>
          <w:b/>
          <w:sz w:val="20"/>
        </w:rPr>
      </w:pPr>
    </w:p>
    <w:p w14:paraId="773C4146" w14:textId="77777777" w:rsidR="00771A4F" w:rsidRDefault="00771A4F">
      <w:pPr>
        <w:pStyle w:val="BodyText"/>
        <w:rPr>
          <w:b/>
          <w:sz w:val="20"/>
        </w:rPr>
      </w:pPr>
    </w:p>
    <w:p w14:paraId="773C4147" w14:textId="77777777" w:rsidR="00771A4F" w:rsidRDefault="00771A4F">
      <w:pPr>
        <w:pStyle w:val="BodyText"/>
        <w:rPr>
          <w:b/>
          <w:sz w:val="20"/>
        </w:rPr>
      </w:pPr>
    </w:p>
    <w:p w14:paraId="773C4148" w14:textId="77777777" w:rsidR="00771A4F" w:rsidRDefault="00771A4F">
      <w:pPr>
        <w:pStyle w:val="BodyText"/>
        <w:rPr>
          <w:b/>
          <w:sz w:val="20"/>
        </w:rPr>
      </w:pPr>
    </w:p>
    <w:p w14:paraId="773C4149" w14:textId="77777777" w:rsidR="00771A4F" w:rsidRDefault="00771A4F">
      <w:pPr>
        <w:pStyle w:val="BodyText"/>
        <w:spacing w:before="7"/>
        <w:rPr>
          <w:b/>
          <w:sz w:val="24"/>
        </w:rPr>
      </w:pPr>
    </w:p>
    <w:p w14:paraId="773C414A" w14:textId="77777777" w:rsidR="00771A4F" w:rsidRDefault="000568B2">
      <w:pPr>
        <w:spacing w:before="3"/>
        <w:ind w:left="1200"/>
        <w:rPr>
          <w:b/>
          <w:sz w:val="48"/>
        </w:rPr>
      </w:pPr>
      <w:r>
        <w:rPr>
          <w:b/>
          <w:spacing w:val="-2"/>
          <w:sz w:val="48"/>
        </w:rPr>
        <w:t>CONTENTS:</w:t>
      </w:r>
    </w:p>
    <w:p w14:paraId="773C414B" w14:textId="77777777" w:rsidR="00771A4F" w:rsidRDefault="00771A4F">
      <w:pPr>
        <w:pStyle w:val="BodyText"/>
        <w:rPr>
          <w:b/>
          <w:sz w:val="20"/>
        </w:rPr>
      </w:pPr>
    </w:p>
    <w:p w14:paraId="773C414C" w14:textId="77777777" w:rsidR="00771A4F" w:rsidRDefault="00771A4F">
      <w:pPr>
        <w:pStyle w:val="BodyText"/>
        <w:rPr>
          <w:b/>
          <w:sz w:val="20"/>
        </w:rPr>
      </w:pPr>
    </w:p>
    <w:p w14:paraId="773C414D" w14:textId="77777777" w:rsidR="00771A4F" w:rsidRDefault="00771A4F">
      <w:pPr>
        <w:pStyle w:val="BodyText"/>
        <w:rPr>
          <w:b/>
          <w:sz w:val="20"/>
        </w:rPr>
      </w:pPr>
    </w:p>
    <w:p w14:paraId="773C414E" w14:textId="77777777" w:rsidR="00771A4F" w:rsidRDefault="00771A4F">
      <w:pPr>
        <w:pStyle w:val="BodyText"/>
        <w:rPr>
          <w:b/>
          <w:sz w:val="20"/>
        </w:rPr>
      </w:pPr>
    </w:p>
    <w:p w14:paraId="773C414F" w14:textId="77777777" w:rsidR="00771A4F" w:rsidRDefault="00771A4F">
      <w:pPr>
        <w:pStyle w:val="BodyText"/>
        <w:spacing w:before="8"/>
        <w:rPr>
          <w:b/>
          <w:sz w:val="29"/>
        </w:rPr>
      </w:pPr>
    </w:p>
    <w:p w14:paraId="773C4150" w14:textId="77777777" w:rsidR="00771A4F" w:rsidRDefault="000568B2">
      <w:pPr>
        <w:pStyle w:val="BodyText"/>
        <w:spacing w:before="57"/>
        <w:ind w:right="2418"/>
        <w:jc w:val="right"/>
      </w:pPr>
      <w:r>
        <w:rPr>
          <w:spacing w:val="-4"/>
        </w:rPr>
        <w:t>Page</w:t>
      </w:r>
    </w:p>
    <w:sdt>
      <w:sdtPr>
        <w:id w:val="2141373460"/>
        <w:docPartObj>
          <w:docPartGallery w:val="Table of Contents"/>
          <w:docPartUnique/>
        </w:docPartObj>
      </w:sdtPr>
      <w:sdtEndPr/>
      <w:sdtContent>
        <w:p w14:paraId="773C4151" w14:textId="77777777" w:rsidR="00771A4F" w:rsidRDefault="00D51874">
          <w:pPr>
            <w:pStyle w:val="TOC1"/>
            <w:tabs>
              <w:tab w:val="right" w:pos="8714"/>
            </w:tabs>
            <w:spacing w:before="588"/>
          </w:pPr>
          <w:hyperlink w:anchor="_TOC_250004" w:history="1">
            <w:r w:rsidR="000568B2">
              <w:rPr>
                <w:spacing w:val="-2"/>
              </w:rPr>
              <w:t>Introduction</w:t>
            </w:r>
            <w:r w:rsidR="000568B2">
              <w:tab/>
            </w:r>
            <w:r w:rsidR="000568B2">
              <w:rPr>
                <w:spacing w:val="-10"/>
                <w:w w:val="95"/>
              </w:rPr>
              <w:t>3</w:t>
            </w:r>
          </w:hyperlink>
        </w:p>
        <w:p w14:paraId="773C4152" w14:textId="77777777" w:rsidR="00771A4F" w:rsidRDefault="00D51874">
          <w:pPr>
            <w:pStyle w:val="TOC1"/>
            <w:tabs>
              <w:tab w:val="right" w:pos="8714"/>
            </w:tabs>
          </w:pPr>
          <w:hyperlink w:anchor="_TOC_250003" w:history="1">
            <w:r w:rsidR="000568B2">
              <w:t>Executive</w:t>
            </w:r>
            <w:r w:rsidR="000568B2">
              <w:rPr>
                <w:spacing w:val="-9"/>
              </w:rPr>
              <w:t xml:space="preserve"> </w:t>
            </w:r>
            <w:r w:rsidR="000568B2">
              <w:rPr>
                <w:spacing w:val="-2"/>
              </w:rPr>
              <w:t>Summary</w:t>
            </w:r>
            <w:r w:rsidR="000568B2">
              <w:tab/>
            </w:r>
            <w:r w:rsidR="000568B2">
              <w:rPr>
                <w:spacing w:val="-10"/>
              </w:rPr>
              <w:t>4</w:t>
            </w:r>
          </w:hyperlink>
        </w:p>
        <w:p w14:paraId="773C4153" w14:textId="77777777" w:rsidR="00771A4F" w:rsidRDefault="00D51874">
          <w:pPr>
            <w:pStyle w:val="TOC1"/>
            <w:tabs>
              <w:tab w:val="right" w:pos="8714"/>
            </w:tabs>
          </w:pPr>
          <w:hyperlink w:anchor="_TOC_250002" w:history="1">
            <w:r w:rsidR="000568B2">
              <w:rPr>
                <w:spacing w:val="-2"/>
              </w:rPr>
              <w:t>Membership</w:t>
            </w:r>
            <w:r w:rsidR="000568B2">
              <w:tab/>
            </w:r>
            <w:r w:rsidR="000568B2">
              <w:rPr>
                <w:spacing w:val="-10"/>
              </w:rPr>
              <w:t>5</w:t>
            </w:r>
          </w:hyperlink>
        </w:p>
        <w:p w14:paraId="773C4154" w14:textId="77777777" w:rsidR="00771A4F" w:rsidRDefault="00D51874">
          <w:pPr>
            <w:pStyle w:val="TOC1"/>
            <w:tabs>
              <w:tab w:val="right" w:pos="8714"/>
            </w:tabs>
          </w:pPr>
          <w:hyperlink w:anchor="_TOC_250001" w:history="1">
            <w:r w:rsidR="000568B2">
              <w:t>Terms</w:t>
            </w:r>
            <w:r w:rsidR="000568B2">
              <w:rPr>
                <w:spacing w:val="-4"/>
              </w:rPr>
              <w:t xml:space="preserve"> </w:t>
            </w:r>
            <w:r w:rsidR="000568B2">
              <w:t>of</w:t>
            </w:r>
            <w:r w:rsidR="000568B2">
              <w:rPr>
                <w:spacing w:val="-3"/>
              </w:rPr>
              <w:t xml:space="preserve"> </w:t>
            </w:r>
            <w:r w:rsidR="000568B2">
              <w:rPr>
                <w:spacing w:val="-2"/>
              </w:rPr>
              <w:t>Reference</w:t>
            </w:r>
            <w:r w:rsidR="000568B2">
              <w:tab/>
            </w:r>
            <w:r w:rsidR="000568B2">
              <w:rPr>
                <w:spacing w:val="-10"/>
                <w:w w:val="95"/>
              </w:rPr>
              <w:t>6</w:t>
            </w:r>
          </w:hyperlink>
        </w:p>
        <w:p w14:paraId="773C4155" w14:textId="77777777" w:rsidR="00771A4F" w:rsidRDefault="000568B2">
          <w:pPr>
            <w:pStyle w:val="TOC1"/>
            <w:tabs>
              <w:tab w:val="right" w:pos="8714"/>
            </w:tabs>
          </w:pPr>
          <w:r>
            <w:t>Finance</w:t>
          </w:r>
          <w:r>
            <w:rPr>
              <w:spacing w:val="-7"/>
            </w:rPr>
            <w:t xml:space="preserve"> </w:t>
          </w:r>
          <w:r>
            <w:t>and</w:t>
          </w:r>
          <w:r>
            <w:rPr>
              <w:spacing w:val="-4"/>
            </w:rPr>
            <w:t xml:space="preserve"> </w:t>
          </w:r>
          <w:r>
            <w:rPr>
              <w:spacing w:val="-2"/>
            </w:rPr>
            <w:t>Remuneration</w:t>
          </w:r>
          <w:r>
            <w:tab/>
          </w:r>
          <w:r>
            <w:rPr>
              <w:spacing w:val="-10"/>
            </w:rPr>
            <w:t>6</w:t>
          </w:r>
        </w:p>
        <w:p w14:paraId="773C4156" w14:textId="77777777" w:rsidR="00771A4F" w:rsidRDefault="00D51874">
          <w:pPr>
            <w:pStyle w:val="TOC1"/>
            <w:tabs>
              <w:tab w:val="right" w:pos="8714"/>
            </w:tabs>
          </w:pPr>
          <w:hyperlink w:anchor="_TOC_250000" w:history="1">
            <w:r w:rsidR="000568B2">
              <w:t>Achievements</w:t>
            </w:r>
            <w:r w:rsidR="000568B2">
              <w:rPr>
                <w:spacing w:val="-8"/>
              </w:rPr>
              <w:t xml:space="preserve"> </w:t>
            </w:r>
            <w:r w:rsidR="000568B2">
              <w:t>and</w:t>
            </w:r>
            <w:r w:rsidR="000568B2">
              <w:rPr>
                <w:spacing w:val="-6"/>
              </w:rPr>
              <w:t xml:space="preserve"> </w:t>
            </w:r>
            <w:r w:rsidR="000568B2">
              <w:rPr>
                <w:spacing w:val="-2"/>
                <w:w w:val="95"/>
              </w:rPr>
              <w:t>Objectives</w:t>
            </w:r>
            <w:r w:rsidR="000568B2">
              <w:tab/>
            </w:r>
            <w:r w:rsidR="000568B2">
              <w:rPr>
                <w:spacing w:val="-10"/>
              </w:rPr>
              <w:t>6</w:t>
            </w:r>
          </w:hyperlink>
        </w:p>
        <w:p w14:paraId="773C4157" w14:textId="77777777" w:rsidR="00771A4F" w:rsidRDefault="000568B2">
          <w:pPr>
            <w:pStyle w:val="TOC1"/>
            <w:tabs>
              <w:tab w:val="right" w:pos="8714"/>
            </w:tabs>
            <w:spacing w:before="159"/>
          </w:pPr>
          <w:r>
            <w:rPr>
              <w:spacing w:val="-2"/>
            </w:rPr>
            <w:t>Conclusion</w:t>
          </w:r>
          <w:r>
            <w:tab/>
          </w:r>
          <w:r>
            <w:rPr>
              <w:spacing w:val="-10"/>
            </w:rPr>
            <w:t>8</w:t>
          </w:r>
        </w:p>
      </w:sdtContent>
    </w:sdt>
    <w:p w14:paraId="773C4158" w14:textId="77777777" w:rsidR="00771A4F" w:rsidRDefault="00771A4F">
      <w:pPr>
        <w:sectPr w:rsidR="00771A4F">
          <w:headerReference w:type="default" r:id="rId10"/>
          <w:footerReference w:type="default" r:id="rId11"/>
          <w:pgSz w:w="11910" w:h="16840"/>
          <w:pgMar w:top="980" w:right="240" w:bottom="1280" w:left="240" w:header="763" w:footer="1084" w:gutter="0"/>
          <w:pgNumType w:start="2"/>
          <w:cols w:space="720"/>
        </w:sectPr>
      </w:pPr>
    </w:p>
    <w:p w14:paraId="773C4159" w14:textId="77777777" w:rsidR="00771A4F" w:rsidRDefault="00771A4F">
      <w:pPr>
        <w:pStyle w:val="BodyText"/>
        <w:rPr>
          <w:sz w:val="36"/>
        </w:rPr>
      </w:pPr>
    </w:p>
    <w:p w14:paraId="773C415A" w14:textId="77777777" w:rsidR="00771A4F" w:rsidRDefault="00771A4F">
      <w:pPr>
        <w:pStyle w:val="BodyText"/>
        <w:spacing w:before="10"/>
        <w:rPr>
          <w:sz w:val="47"/>
        </w:rPr>
      </w:pPr>
    </w:p>
    <w:p w14:paraId="773C415B" w14:textId="77777777" w:rsidR="00771A4F" w:rsidRDefault="000568B2">
      <w:pPr>
        <w:pStyle w:val="Heading1"/>
      </w:pPr>
      <w:bookmarkStart w:id="0" w:name="_TOC_250004"/>
      <w:bookmarkEnd w:id="0"/>
      <w:r>
        <w:rPr>
          <w:spacing w:val="-2"/>
        </w:rPr>
        <w:t>INTRODUCTION:</w:t>
      </w:r>
    </w:p>
    <w:p w14:paraId="773C415C" w14:textId="77777777" w:rsidR="00771A4F" w:rsidRDefault="00771A4F">
      <w:pPr>
        <w:pStyle w:val="BodyText"/>
        <w:rPr>
          <w:b/>
          <w:sz w:val="48"/>
        </w:rPr>
      </w:pPr>
    </w:p>
    <w:p w14:paraId="44CD8CE5" w14:textId="5237FD13" w:rsidR="00E12B03" w:rsidRDefault="000568B2" w:rsidP="005952C7">
      <w:pPr>
        <w:pStyle w:val="BodyText"/>
        <w:ind w:left="1200" w:right="940"/>
        <w:jc w:val="both"/>
      </w:pPr>
      <w:r>
        <w:t>Welcome</w:t>
      </w:r>
      <w:r>
        <w:rPr>
          <w:spacing w:val="-4"/>
        </w:rPr>
        <w:t xml:space="preserve"> </w:t>
      </w:r>
      <w:r>
        <w:t>to</w:t>
      </w:r>
      <w:r>
        <w:rPr>
          <w:spacing w:val="-4"/>
        </w:rPr>
        <w:t xml:space="preserve"> </w:t>
      </w:r>
      <w:r>
        <w:t>the</w:t>
      </w:r>
      <w:r>
        <w:rPr>
          <w:spacing w:val="-2"/>
        </w:rPr>
        <w:t xml:space="preserve"> </w:t>
      </w:r>
      <w:r>
        <w:t>Annual</w:t>
      </w:r>
      <w:r>
        <w:rPr>
          <w:spacing w:val="-3"/>
        </w:rPr>
        <w:t xml:space="preserve"> </w:t>
      </w:r>
      <w:r>
        <w:t>Report</w:t>
      </w:r>
      <w:r>
        <w:rPr>
          <w:spacing w:val="-5"/>
        </w:rPr>
        <w:t xml:space="preserve"> </w:t>
      </w:r>
      <w:r>
        <w:t>of</w:t>
      </w:r>
      <w:r>
        <w:rPr>
          <w:spacing w:val="-3"/>
        </w:rPr>
        <w:t xml:space="preserve"> </w:t>
      </w:r>
      <w:r>
        <w:t>the</w:t>
      </w:r>
      <w:r>
        <w:rPr>
          <w:spacing w:val="-1"/>
        </w:rPr>
        <w:t xml:space="preserve"> </w:t>
      </w:r>
      <w:r w:rsidR="400635AC">
        <w:t>Northwest</w:t>
      </w:r>
      <w:r>
        <w:rPr>
          <w:spacing w:val="-3"/>
        </w:rPr>
        <w:t xml:space="preserve"> </w:t>
      </w:r>
      <w:r>
        <w:t>Regional</w:t>
      </w:r>
      <w:r>
        <w:rPr>
          <w:spacing w:val="-3"/>
        </w:rPr>
        <w:t xml:space="preserve"> </w:t>
      </w:r>
      <w:r>
        <w:t>Police</w:t>
      </w:r>
      <w:r>
        <w:rPr>
          <w:spacing w:val="-4"/>
        </w:rPr>
        <w:t xml:space="preserve"> </w:t>
      </w:r>
      <w:r>
        <w:t>Pensions</w:t>
      </w:r>
      <w:r>
        <w:rPr>
          <w:spacing w:val="-5"/>
        </w:rPr>
        <w:t xml:space="preserve"> </w:t>
      </w:r>
      <w:r>
        <w:t>Board</w:t>
      </w:r>
      <w:r>
        <w:rPr>
          <w:spacing w:val="-3"/>
        </w:rPr>
        <w:t xml:space="preserve"> </w:t>
      </w:r>
      <w:r>
        <w:rPr>
          <w:spacing w:val="-2"/>
        </w:rPr>
        <w:t>(NWPPB)</w:t>
      </w:r>
      <w:r w:rsidR="00995DD7">
        <w:rPr>
          <w:spacing w:val="-2"/>
        </w:rPr>
        <w:t xml:space="preserve">, </w:t>
      </w:r>
      <w:r w:rsidR="00E12B03">
        <w:t xml:space="preserve">for the period ending March 2022 this marks the first </w:t>
      </w:r>
      <w:r w:rsidR="002E221B">
        <w:t xml:space="preserve">formal </w:t>
      </w:r>
      <w:r w:rsidR="00E12B03">
        <w:t xml:space="preserve">report </w:t>
      </w:r>
      <w:r w:rsidR="002E221B">
        <w:t xml:space="preserve">since the </w:t>
      </w:r>
      <w:r w:rsidR="00E12B03">
        <w:t>COVID 19 pandemic. During the pandemic, the board continued to meet</w:t>
      </w:r>
      <w:r w:rsidR="002E221B">
        <w:t xml:space="preserve"> virtually and transact normal business and m</w:t>
      </w:r>
      <w:r w:rsidR="00E12B03">
        <w:t xml:space="preserve">aintain its functions. I am pleased to update you on </w:t>
      </w:r>
      <w:r w:rsidR="002E221B">
        <w:t>the Board’s activities</w:t>
      </w:r>
      <w:r w:rsidR="0CC1466A">
        <w:t>.?</w:t>
      </w:r>
    </w:p>
    <w:p w14:paraId="773C415D" w14:textId="1CA30F33" w:rsidR="00771A4F" w:rsidRDefault="00771A4F">
      <w:pPr>
        <w:pStyle w:val="BodyText"/>
        <w:ind w:left="1200"/>
        <w:jc w:val="both"/>
      </w:pPr>
    </w:p>
    <w:p w14:paraId="773C415E" w14:textId="271E35E6" w:rsidR="00771A4F" w:rsidRDefault="000568B2">
      <w:pPr>
        <w:pStyle w:val="BodyText"/>
        <w:spacing w:before="161"/>
        <w:ind w:left="1200" w:right="862"/>
        <w:jc w:val="both"/>
      </w:pPr>
      <w:r>
        <w:t>The NWRPPB was established in March 2015, as required under the Public Service Pensions Act 2013</w:t>
      </w:r>
      <w:r>
        <w:rPr>
          <w:spacing w:val="40"/>
        </w:rPr>
        <w:t xml:space="preserve"> </w:t>
      </w:r>
      <w:r>
        <w:t xml:space="preserve">and Police Pension Regulations </w:t>
      </w:r>
      <w:r w:rsidR="0064364B">
        <w:t>2015 and</w:t>
      </w:r>
      <w:r>
        <w:t xml:space="preserve"> has the responsibility for “assisting the Scheme Manager” in securing compliance with all relevant pensions law, </w:t>
      </w:r>
      <w:r w:rsidR="0064364B">
        <w:t>regulations,</w:t>
      </w:r>
      <w:r>
        <w:t xml:space="preserve"> and directions in respect of Police Pension Schemes. The Scheme Managers are the Chief Constables of Cheshire, Cumbria, Greater Manchester, </w:t>
      </w:r>
      <w:r w:rsidR="00596B0D">
        <w:t>Lancashire,</w:t>
      </w:r>
      <w:r>
        <w:t xml:space="preserve"> and Merseyside Police forces respectively.</w:t>
      </w:r>
    </w:p>
    <w:p w14:paraId="773C415F" w14:textId="6A70C836" w:rsidR="00771A4F" w:rsidRDefault="000568B2">
      <w:pPr>
        <w:pStyle w:val="BodyText"/>
        <w:spacing w:before="161"/>
        <w:ind w:left="1200" w:right="863"/>
        <w:jc w:val="both"/>
      </w:pPr>
      <w:r>
        <w:t xml:space="preserve">The purpose of this report is to inform Scheme Managers of the governance arrangements that have been in place during the period 1 April </w:t>
      </w:r>
      <w:r w:rsidR="007076D2">
        <w:t>2021</w:t>
      </w:r>
      <w:r w:rsidR="002E221B">
        <w:t xml:space="preserve"> </w:t>
      </w:r>
      <w:r>
        <w:t xml:space="preserve">to 31 March </w:t>
      </w:r>
      <w:r w:rsidR="007076D2">
        <w:t>2022</w:t>
      </w:r>
      <w:r>
        <w:t>, the</w:t>
      </w:r>
      <w:r>
        <w:rPr>
          <w:spacing w:val="-1"/>
        </w:rPr>
        <w:t xml:space="preserve"> </w:t>
      </w:r>
      <w:r>
        <w:t xml:space="preserve">work undertaken by the </w:t>
      </w:r>
      <w:r w:rsidR="54977B68">
        <w:t>NWPPB,</w:t>
      </w:r>
      <w:r>
        <w:t xml:space="preserve"> and any issues identified.</w:t>
      </w:r>
      <w:r>
        <w:rPr>
          <w:spacing w:val="40"/>
        </w:rPr>
        <w:t xml:space="preserve"> </w:t>
      </w:r>
      <w:r>
        <w:t>The report also enables Audit Committees to have oversight of the relevant governance arrangements.</w:t>
      </w:r>
    </w:p>
    <w:p w14:paraId="773C4160" w14:textId="6E45C263" w:rsidR="00771A4F" w:rsidRDefault="000568B2">
      <w:pPr>
        <w:pStyle w:val="BodyText"/>
        <w:spacing w:before="159"/>
        <w:ind w:left="1200" w:right="862"/>
        <w:jc w:val="both"/>
      </w:pPr>
      <w:r>
        <w:t xml:space="preserve">The report is expected to be of interest to Scheme Managers, the Audit Committees of the constituent police forces, The Pension </w:t>
      </w:r>
      <w:r w:rsidR="00596B0D">
        <w:t>Regulator,</w:t>
      </w:r>
      <w:r>
        <w:t xml:space="preserve"> and national Scheme Advisory Board. It also provides the opportunity to other stakeholders, including pension scheme members, to gain assurance that appropriate governance arrangements exist regarding the management of pensions.</w:t>
      </w:r>
    </w:p>
    <w:p w14:paraId="773C4161" w14:textId="77777777" w:rsidR="00771A4F" w:rsidRDefault="00771A4F">
      <w:pPr>
        <w:jc w:val="both"/>
        <w:sectPr w:rsidR="00771A4F">
          <w:pgSz w:w="11910" w:h="16840"/>
          <w:pgMar w:top="980" w:right="240" w:bottom="1280" w:left="240" w:header="763" w:footer="1084" w:gutter="0"/>
          <w:cols w:space="720"/>
        </w:sectPr>
      </w:pPr>
    </w:p>
    <w:p w14:paraId="773C4162" w14:textId="77777777" w:rsidR="00771A4F" w:rsidRDefault="00771A4F">
      <w:pPr>
        <w:pStyle w:val="BodyText"/>
        <w:rPr>
          <w:sz w:val="20"/>
        </w:rPr>
      </w:pPr>
    </w:p>
    <w:p w14:paraId="773C4163" w14:textId="77777777" w:rsidR="00771A4F" w:rsidRDefault="00771A4F">
      <w:pPr>
        <w:pStyle w:val="BodyText"/>
        <w:rPr>
          <w:sz w:val="20"/>
        </w:rPr>
      </w:pPr>
    </w:p>
    <w:p w14:paraId="773C4164" w14:textId="77777777" w:rsidR="00771A4F" w:rsidRDefault="00771A4F">
      <w:pPr>
        <w:pStyle w:val="BodyText"/>
        <w:rPr>
          <w:sz w:val="20"/>
        </w:rPr>
      </w:pPr>
    </w:p>
    <w:p w14:paraId="773C4165" w14:textId="77777777" w:rsidR="00771A4F" w:rsidRDefault="00771A4F">
      <w:pPr>
        <w:pStyle w:val="BodyText"/>
        <w:spacing w:before="7"/>
        <w:rPr>
          <w:sz w:val="21"/>
        </w:rPr>
      </w:pPr>
    </w:p>
    <w:p w14:paraId="773C4166" w14:textId="77777777" w:rsidR="00771A4F" w:rsidRDefault="000568B2">
      <w:pPr>
        <w:pStyle w:val="Heading1"/>
        <w:spacing w:before="27"/>
        <w:jc w:val="both"/>
      </w:pPr>
      <w:bookmarkStart w:id="1" w:name="_TOC_250003"/>
      <w:r>
        <w:t>EXECUTIVE</w:t>
      </w:r>
      <w:bookmarkEnd w:id="1"/>
      <w:r>
        <w:rPr>
          <w:spacing w:val="-2"/>
        </w:rPr>
        <w:t xml:space="preserve"> SUMMARY:</w:t>
      </w:r>
    </w:p>
    <w:p w14:paraId="773C4167" w14:textId="77777777" w:rsidR="00771A4F" w:rsidRDefault="00771A4F">
      <w:pPr>
        <w:pStyle w:val="BodyText"/>
        <w:spacing w:before="1"/>
        <w:rPr>
          <w:b/>
          <w:sz w:val="48"/>
        </w:rPr>
      </w:pPr>
    </w:p>
    <w:p w14:paraId="773C4168" w14:textId="11B58C31" w:rsidR="00771A4F" w:rsidRDefault="000568B2">
      <w:pPr>
        <w:pStyle w:val="BodyText"/>
        <w:ind w:left="1200" w:right="1195"/>
        <w:jc w:val="both"/>
      </w:pPr>
      <w:r>
        <w:t xml:space="preserve">The NWPPB met </w:t>
      </w:r>
      <w:r w:rsidR="002E221B">
        <w:t xml:space="preserve">regularly </w:t>
      </w:r>
      <w:r>
        <w:t xml:space="preserve">during </w:t>
      </w:r>
      <w:r w:rsidR="00554092">
        <w:t>2021</w:t>
      </w:r>
      <w:r>
        <w:t>/</w:t>
      </w:r>
      <w:r w:rsidR="00554092">
        <w:t xml:space="preserve">2022 </w:t>
      </w:r>
      <w:r>
        <w:t xml:space="preserve">and has complied with the requirements set out under the Public Service Pensions Act 2013 and Police Pension Regulations 2015. All five forces </w:t>
      </w:r>
      <w:r w:rsidR="002E221B">
        <w:t xml:space="preserve">and employee representatives </w:t>
      </w:r>
      <w:r>
        <w:t>were represented at the meetings and the Board’s main activities during the year have been: -</w:t>
      </w:r>
    </w:p>
    <w:p w14:paraId="773C4169" w14:textId="7B42286C" w:rsidR="00771A4F" w:rsidRDefault="000568B2">
      <w:pPr>
        <w:pStyle w:val="ListParagraph"/>
        <w:numPr>
          <w:ilvl w:val="0"/>
          <w:numId w:val="4"/>
        </w:numPr>
        <w:tabs>
          <w:tab w:val="left" w:pos="2280"/>
          <w:tab w:val="left" w:pos="2281"/>
        </w:tabs>
        <w:ind w:right="1196"/>
      </w:pPr>
      <w:r>
        <w:t xml:space="preserve">Ensuring compliance with relevant legislation, </w:t>
      </w:r>
      <w:r w:rsidR="00596B0D">
        <w:t>regulations,</w:t>
      </w:r>
      <w:r>
        <w:t xml:space="preserve"> and requirements of the Pen</w:t>
      </w:r>
      <w:r w:rsidR="002E221B">
        <w:t>s</w:t>
      </w:r>
      <w:r>
        <w:t>ion Regulator, especially in respect of key issues affecting all pension schemes</w:t>
      </w:r>
    </w:p>
    <w:p w14:paraId="773C416A" w14:textId="4BEA895C" w:rsidR="00771A4F" w:rsidRDefault="000568B2">
      <w:pPr>
        <w:pStyle w:val="ListParagraph"/>
        <w:numPr>
          <w:ilvl w:val="0"/>
          <w:numId w:val="4"/>
        </w:numPr>
        <w:tabs>
          <w:tab w:val="left" w:pos="2280"/>
          <w:tab w:val="left" w:pos="2281"/>
        </w:tabs>
        <w:spacing w:before="162"/>
        <w:ind w:right="1199"/>
      </w:pPr>
      <w:r>
        <w:t>To continue to improve and promote consistency of scheme administration and service for members</w:t>
      </w:r>
    </w:p>
    <w:p w14:paraId="7FA47DD6" w14:textId="12B3FECD" w:rsidR="00030F9E" w:rsidRDefault="00030F9E">
      <w:pPr>
        <w:pStyle w:val="ListParagraph"/>
        <w:numPr>
          <w:ilvl w:val="0"/>
          <w:numId w:val="4"/>
        </w:numPr>
        <w:tabs>
          <w:tab w:val="left" w:pos="2280"/>
          <w:tab w:val="left" w:pos="2281"/>
        </w:tabs>
        <w:spacing w:before="162"/>
        <w:ind w:right="1199"/>
      </w:pPr>
      <w:r>
        <w:t>To work with the NPCC Pension Adviser</w:t>
      </w:r>
      <w:r w:rsidR="00280E4E">
        <w:t>, Clair Alcoc</w:t>
      </w:r>
      <w:r w:rsidR="002E221B">
        <w:t>k</w:t>
      </w:r>
      <w:r w:rsidR="00280E4E">
        <w:t>, to ensure that the Board is able to test the capability of scheme</w:t>
      </w:r>
      <w:r w:rsidR="00C144D7">
        <w:t xml:space="preserve"> managers to oversee the application of the Pensions remedy arising from the “</w:t>
      </w:r>
      <w:r w:rsidR="0029691B">
        <w:t>McCLoud” judgement.</w:t>
      </w:r>
    </w:p>
    <w:p w14:paraId="7DAD2CDA" w14:textId="38BB172C" w:rsidR="00810C42" w:rsidRDefault="00C778F5" w:rsidP="6B28B114">
      <w:pPr>
        <w:pStyle w:val="ListParagraph"/>
        <w:numPr>
          <w:ilvl w:val="0"/>
          <w:numId w:val="4"/>
        </w:numPr>
        <w:tabs>
          <w:tab w:val="left" w:pos="2280"/>
          <w:tab w:val="left" w:pos="2281"/>
        </w:tabs>
        <w:spacing w:before="160"/>
        <w:ind w:right="1604"/>
      </w:pPr>
      <w:r>
        <w:t xml:space="preserve">2021/22 saw the Board start to emerge from the </w:t>
      </w:r>
      <w:r w:rsidR="00730709">
        <w:t xml:space="preserve">impact of the COVID 19 pandemic and whilst the </w:t>
      </w:r>
      <w:r w:rsidR="00257E2D">
        <w:t>Board continued to meet throughout the pandemic</w:t>
      </w:r>
      <w:r w:rsidR="00651EAC">
        <w:t xml:space="preserve"> and to continue to carry out its </w:t>
      </w:r>
      <w:r w:rsidR="00DB6987">
        <w:t>duties, 2021</w:t>
      </w:r>
      <w:r w:rsidR="00651EAC">
        <w:t>/22 saw a mo</w:t>
      </w:r>
      <w:r w:rsidR="00B02BD0">
        <w:t xml:space="preserve">ve back to </w:t>
      </w:r>
      <w:r w:rsidR="00981E7B">
        <w:t xml:space="preserve">more normal operating </w:t>
      </w:r>
      <w:r w:rsidR="00810C42">
        <w:t>activities.</w:t>
      </w:r>
    </w:p>
    <w:p w14:paraId="346C2D92" w14:textId="71E150AF" w:rsidR="005952C7" w:rsidRDefault="000568B2">
      <w:pPr>
        <w:pStyle w:val="BodyText"/>
        <w:spacing w:before="161"/>
        <w:ind w:left="1200" w:right="1193"/>
        <w:jc w:val="both"/>
      </w:pPr>
      <w:r>
        <w:t xml:space="preserve">There have been </w:t>
      </w:r>
      <w:r w:rsidR="00C568E4">
        <w:t>several</w:t>
      </w:r>
      <w:r>
        <w:t xml:space="preserve"> issues </w:t>
      </w:r>
      <w:r w:rsidR="002E221B">
        <w:t xml:space="preserve">for </w:t>
      </w:r>
      <w:r>
        <w:t xml:space="preserve">scheme managers within the </w:t>
      </w:r>
      <w:r w:rsidR="00810C42">
        <w:t xml:space="preserve">2021 </w:t>
      </w:r>
      <w:r>
        <w:t>/</w:t>
      </w:r>
      <w:r w:rsidR="00810C42">
        <w:t xml:space="preserve">2022 </w:t>
      </w:r>
      <w:r>
        <w:t>period in</w:t>
      </w:r>
      <w:r w:rsidR="005952C7">
        <w:t>-</w:t>
      </w:r>
    </w:p>
    <w:p w14:paraId="773C416C" w14:textId="03D8BF46" w:rsidR="00771A4F" w:rsidRDefault="000568B2">
      <w:pPr>
        <w:pStyle w:val="BodyText"/>
        <w:spacing w:before="161"/>
        <w:ind w:left="1200" w:right="1193"/>
        <w:jc w:val="both"/>
      </w:pPr>
      <w:r>
        <w:t>cluding the impact</w:t>
      </w:r>
      <w:r>
        <w:rPr>
          <w:spacing w:val="-1"/>
        </w:rPr>
        <w:t xml:space="preserve"> </w:t>
      </w:r>
      <w:r>
        <w:t>of</w:t>
      </w:r>
      <w:r w:rsidR="002E221B">
        <w:t xml:space="preserve"> </w:t>
      </w:r>
      <w:r w:rsidR="007210A4">
        <w:t xml:space="preserve">the </w:t>
      </w:r>
      <w:r w:rsidR="00F068D4">
        <w:t>implementation of the Pension remedy</w:t>
      </w:r>
      <w:r w:rsidR="00BD6CB8">
        <w:t xml:space="preserve"> arising from the judgement on the McCLoud</w:t>
      </w:r>
      <w:r w:rsidR="002D4B9B">
        <w:t xml:space="preserve"> </w:t>
      </w:r>
      <w:r w:rsidR="005952C7">
        <w:t>Sergeant</w:t>
      </w:r>
      <w:r w:rsidR="002D4B9B">
        <w:t xml:space="preserve"> pensions challenge. The Board has sought regular updates on the application of the judgement</w:t>
      </w:r>
      <w:r w:rsidR="00EA458F">
        <w:t xml:space="preserve"> and sought assurances that the scheme managers are </w:t>
      </w:r>
      <w:r w:rsidR="00AE3BE4">
        <w:t>taking reasonable steps to prepare for the application of the remedy</w:t>
      </w:r>
      <w:r w:rsidR="00723EE5">
        <w:t xml:space="preserve">. </w:t>
      </w:r>
      <w:r w:rsidR="006B3913">
        <w:t xml:space="preserve">This work will take some time to </w:t>
      </w:r>
      <w:r w:rsidR="38B96E0D">
        <w:t>complete,</w:t>
      </w:r>
      <w:r w:rsidR="002008C5">
        <w:t xml:space="preserve"> and the Board will continue to focus on it.</w:t>
      </w:r>
      <w:r>
        <w:rPr>
          <w:spacing w:val="80"/>
        </w:rPr>
        <w:t xml:space="preserve"> </w:t>
      </w:r>
    </w:p>
    <w:p w14:paraId="773C416E" w14:textId="3F54CC83" w:rsidR="00771A4F" w:rsidRDefault="000568B2" w:rsidP="6B28B114">
      <w:pPr>
        <w:pStyle w:val="BodyText"/>
        <w:spacing w:before="159"/>
        <w:ind w:left="1200" w:right="1194"/>
        <w:jc w:val="both"/>
      </w:pPr>
      <w:r>
        <w:t>The Board has undertaken work to improve communication and accessibility.</w:t>
      </w:r>
      <w:r>
        <w:rPr>
          <w:spacing w:val="40"/>
        </w:rPr>
        <w:t xml:space="preserve"> </w:t>
      </w:r>
      <w:r>
        <w:t xml:space="preserve">However, </w:t>
      </w:r>
      <w:r w:rsidR="002E221B">
        <w:t xml:space="preserve">the pandemic stalled </w:t>
      </w:r>
      <w:r w:rsidR="30358450">
        <w:t>this,</w:t>
      </w:r>
      <w:r w:rsidR="002E221B">
        <w:t xml:space="preserve"> and it </w:t>
      </w:r>
      <w:r>
        <w:t xml:space="preserve">has not yet </w:t>
      </w:r>
      <w:r w:rsidR="14A46CA3">
        <w:t>been</w:t>
      </w:r>
      <w:r>
        <w:t xml:space="preserve"> completed and is rolled over into 202</w:t>
      </w:r>
      <w:r w:rsidR="002E221B" w:rsidDel="002E221B">
        <w:t>2</w:t>
      </w:r>
      <w:r>
        <w:t>-</w:t>
      </w:r>
      <w:r w:rsidR="5C6EB3B7">
        <w:t>23.</w:t>
      </w:r>
      <w:r>
        <w:t xml:space="preserve"> This </w:t>
      </w:r>
      <w:r w:rsidR="002E221B">
        <w:t xml:space="preserve">activity when completed </w:t>
      </w:r>
      <w:r>
        <w:t>will improve communication with scheme Managers and other stakeholders.</w:t>
      </w:r>
    </w:p>
    <w:p w14:paraId="773C416F" w14:textId="17E1AA65" w:rsidR="00771A4F" w:rsidRDefault="000568B2">
      <w:pPr>
        <w:pStyle w:val="BodyText"/>
        <w:spacing w:before="161"/>
        <w:ind w:left="1200" w:right="1194"/>
        <w:jc w:val="both"/>
      </w:pPr>
      <w:r>
        <w:t>The Board has developed systems and processes to improve the monitoring, reporting and consistency in operation across the various scheme administrators that form the NW Police Pension Board.</w:t>
      </w:r>
      <w:r>
        <w:rPr>
          <w:spacing w:val="80"/>
        </w:rPr>
        <w:t xml:space="preserve"> </w:t>
      </w:r>
      <w:r>
        <w:t>The Board has developed a dynamic risk register, a consistent Breach of law reporting mechanism and quarterly</w:t>
      </w:r>
      <w:r>
        <w:rPr>
          <w:spacing w:val="-2"/>
        </w:rPr>
        <w:t xml:space="preserve"> </w:t>
      </w:r>
      <w:r>
        <w:t>performance reporting mechanism to facilitate the</w:t>
      </w:r>
      <w:r>
        <w:rPr>
          <w:spacing w:val="-1"/>
        </w:rPr>
        <w:t xml:space="preserve"> </w:t>
      </w:r>
      <w:r>
        <w:t>monitoring and reporting of the operation of the Schemes. It has also led to the sharing of best practice and enable a collaborative approach to common issues.</w:t>
      </w:r>
    </w:p>
    <w:p w14:paraId="4685A2BB" w14:textId="67311C85" w:rsidR="00BA54C1" w:rsidRDefault="00BA54C1">
      <w:pPr>
        <w:pStyle w:val="BodyText"/>
        <w:spacing w:before="161"/>
        <w:ind w:left="1200" w:right="1194"/>
        <w:jc w:val="both"/>
      </w:pPr>
      <w:r>
        <w:t xml:space="preserve">The Board has also extended its invitation to pension scheme administrators such as XPS and LPPA which has enabled a greater level of accountability and oversight to be gained. </w:t>
      </w:r>
    </w:p>
    <w:p w14:paraId="4A6102B1" w14:textId="77777777" w:rsidR="00771A4F" w:rsidRDefault="00771A4F">
      <w:pPr>
        <w:jc w:val="both"/>
      </w:pPr>
    </w:p>
    <w:p w14:paraId="6E4C271C" w14:textId="77777777" w:rsidR="002E221B" w:rsidRDefault="002E221B">
      <w:pPr>
        <w:jc w:val="both"/>
      </w:pPr>
    </w:p>
    <w:p w14:paraId="773C4170" w14:textId="6070476A" w:rsidR="002E221B" w:rsidRDefault="002E221B">
      <w:pPr>
        <w:jc w:val="both"/>
        <w:sectPr w:rsidR="002E221B">
          <w:pgSz w:w="11910" w:h="16840"/>
          <w:pgMar w:top="980" w:right="240" w:bottom="1280" w:left="240" w:header="763" w:footer="1084" w:gutter="0"/>
          <w:cols w:space="720"/>
        </w:sectPr>
      </w:pPr>
      <w:r>
        <w:tab/>
      </w:r>
    </w:p>
    <w:p w14:paraId="773C4171" w14:textId="77777777" w:rsidR="00771A4F" w:rsidRDefault="00771A4F">
      <w:pPr>
        <w:pStyle w:val="BodyText"/>
        <w:rPr>
          <w:sz w:val="20"/>
        </w:rPr>
      </w:pPr>
    </w:p>
    <w:p w14:paraId="773C4172" w14:textId="77777777" w:rsidR="00771A4F" w:rsidRDefault="00771A4F">
      <w:pPr>
        <w:pStyle w:val="BodyText"/>
        <w:rPr>
          <w:sz w:val="20"/>
        </w:rPr>
      </w:pPr>
    </w:p>
    <w:p w14:paraId="773C4173" w14:textId="77777777" w:rsidR="00771A4F" w:rsidRDefault="00771A4F">
      <w:pPr>
        <w:pStyle w:val="BodyText"/>
        <w:rPr>
          <w:sz w:val="20"/>
        </w:rPr>
      </w:pPr>
    </w:p>
    <w:p w14:paraId="773C4174" w14:textId="77777777" w:rsidR="00771A4F" w:rsidRDefault="00771A4F">
      <w:pPr>
        <w:pStyle w:val="BodyText"/>
        <w:rPr>
          <w:sz w:val="20"/>
        </w:rPr>
      </w:pPr>
    </w:p>
    <w:p w14:paraId="773C4175" w14:textId="77777777" w:rsidR="00771A4F" w:rsidRDefault="00771A4F">
      <w:pPr>
        <w:pStyle w:val="BodyText"/>
        <w:rPr>
          <w:sz w:val="20"/>
        </w:rPr>
      </w:pPr>
    </w:p>
    <w:p w14:paraId="773C4176" w14:textId="77777777" w:rsidR="00771A4F" w:rsidRDefault="00771A4F">
      <w:pPr>
        <w:pStyle w:val="BodyText"/>
        <w:rPr>
          <w:sz w:val="20"/>
        </w:rPr>
      </w:pPr>
    </w:p>
    <w:p w14:paraId="773C4177" w14:textId="77777777" w:rsidR="00771A4F" w:rsidRDefault="000568B2">
      <w:pPr>
        <w:pStyle w:val="Heading1"/>
        <w:spacing w:before="158"/>
      </w:pPr>
      <w:bookmarkStart w:id="2" w:name="_TOC_250002"/>
      <w:bookmarkEnd w:id="2"/>
      <w:r>
        <w:rPr>
          <w:spacing w:val="-2"/>
        </w:rPr>
        <w:t>MEMBERSHIP:</w:t>
      </w:r>
    </w:p>
    <w:p w14:paraId="773C4178" w14:textId="77777777" w:rsidR="00771A4F" w:rsidRDefault="00771A4F">
      <w:pPr>
        <w:pStyle w:val="BodyText"/>
        <w:spacing w:before="1"/>
        <w:rPr>
          <w:b/>
          <w:sz w:val="48"/>
        </w:rPr>
      </w:pPr>
    </w:p>
    <w:p w14:paraId="773C4179" w14:textId="58FFC1F3" w:rsidR="00771A4F" w:rsidRDefault="000568B2">
      <w:pPr>
        <w:pStyle w:val="BodyText"/>
        <w:tabs>
          <w:tab w:val="left" w:pos="6382"/>
        </w:tabs>
        <w:ind w:left="1200" w:right="1195"/>
      </w:pPr>
      <w:r>
        <w:t>The</w:t>
      </w:r>
      <w:r>
        <w:rPr>
          <w:spacing w:val="40"/>
        </w:rPr>
        <w:t xml:space="preserve"> </w:t>
      </w:r>
      <w:r>
        <w:t>full</w:t>
      </w:r>
      <w:r>
        <w:rPr>
          <w:spacing w:val="40"/>
        </w:rPr>
        <w:t xml:space="preserve"> </w:t>
      </w:r>
      <w:r>
        <w:t>membership</w:t>
      </w:r>
      <w:r>
        <w:rPr>
          <w:spacing w:val="40"/>
        </w:rPr>
        <w:t xml:space="preserve"> </w:t>
      </w:r>
      <w:r>
        <w:t>of</w:t>
      </w:r>
      <w:r>
        <w:rPr>
          <w:spacing w:val="40"/>
        </w:rPr>
        <w:t xml:space="preserve"> </w:t>
      </w:r>
      <w:r>
        <w:t>the</w:t>
      </w:r>
      <w:r>
        <w:rPr>
          <w:spacing w:val="40"/>
        </w:rPr>
        <w:t xml:space="preserve"> </w:t>
      </w:r>
      <w:r>
        <w:t>Board</w:t>
      </w:r>
      <w:r>
        <w:rPr>
          <w:spacing w:val="40"/>
        </w:rPr>
        <w:t xml:space="preserve"> </w:t>
      </w:r>
      <w:r>
        <w:t>is</w:t>
      </w:r>
      <w:r>
        <w:rPr>
          <w:spacing w:val="40"/>
        </w:rPr>
        <w:t xml:space="preserve"> </w:t>
      </w:r>
      <w:r>
        <w:t>set</w:t>
      </w:r>
      <w:r>
        <w:rPr>
          <w:spacing w:val="40"/>
        </w:rPr>
        <w:t xml:space="preserve"> </w:t>
      </w:r>
      <w:r>
        <w:t>out</w:t>
      </w:r>
      <w:r>
        <w:rPr>
          <w:spacing w:val="40"/>
        </w:rPr>
        <w:t xml:space="preserve"> </w:t>
      </w:r>
      <w:r>
        <w:t>below.</w:t>
      </w:r>
      <w:r>
        <w:tab/>
      </w:r>
    </w:p>
    <w:p w14:paraId="773C417A" w14:textId="4668E20C" w:rsidR="00771A4F" w:rsidRDefault="000568B2" w:rsidP="6B28B114">
      <w:pPr>
        <w:pStyle w:val="Heading3"/>
        <w:spacing w:before="161"/>
        <w:ind w:left="720" w:firstLine="480"/>
      </w:pPr>
      <w:r>
        <w:rPr>
          <w:spacing w:val="-2"/>
        </w:rPr>
        <w:t>Membership:</w:t>
      </w:r>
    </w:p>
    <w:p w14:paraId="773C417B" w14:textId="77777777" w:rsidR="00771A4F" w:rsidRDefault="00771A4F">
      <w:pPr>
        <w:pStyle w:val="BodyText"/>
        <w:spacing w:before="8"/>
        <w:rPr>
          <w:b/>
          <w:sz w:val="16"/>
        </w:rPr>
      </w:pPr>
    </w:p>
    <w:tbl>
      <w:tblPr>
        <w:tblW w:w="0" w:type="auto"/>
        <w:tblInd w:w="1157" w:type="dxa"/>
        <w:tblLayout w:type="fixed"/>
        <w:tblCellMar>
          <w:left w:w="0" w:type="dxa"/>
          <w:right w:w="0" w:type="dxa"/>
        </w:tblCellMar>
        <w:tblLook w:val="01E0" w:firstRow="1" w:lastRow="1" w:firstColumn="1" w:lastColumn="1" w:noHBand="0" w:noVBand="0"/>
      </w:tblPr>
      <w:tblGrid>
        <w:gridCol w:w="3891"/>
        <w:gridCol w:w="3652"/>
      </w:tblGrid>
      <w:tr w:rsidR="00771A4F" w14:paraId="773C417E" w14:textId="77777777" w:rsidTr="6B28B114">
        <w:trPr>
          <w:trHeight w:val="379"/>
        </w:trPr>
        <w:tc>
          <w:tcPr>
            <w:tcW w:w="3891" w:type="dxa"/>
          </w:tcPr>
          <w:p w14:paraId="773C417C" w14:textId="77777777" w:rsidR="00771A4F" w:rsidRDefault="000568B2">
            <w:pPr>
              <w:pStyle w:val="TableParagraph"/>
              <w:spacing w:line="225" w:lineRule="exact"/>
              <w:rPr>
                <w:b/>
              </w:rPr>
            </w:pPr>
            <w:r>
              <w:rPr>
                <w:b/>
              </w:rPr>
              <w:t>Board</w:t>
            </w:r>
            <w:r>
              <w:rPr>
                <w:b/>
                <w:spacing w:val="-5"/>
              </w:rPr>
              <w:t xml:space="preserve"> </w:t>
            </w:r>
            <w:r>
              <w:rPr>
                <w:b/>
                <w:spacing w:val="-2"/>
              </w:rPr>
              <w:t>Members:</w:t>
            </w:r>
          </w:p>
        </w:tc>
        <w:tc>
          <w:tcPr>
            <w:tcW w:w="3652" w:type="dxa"/>
          </w:tcPr>
          <w:p w14:paraId="773C417D" w14:textId="77777777" w:rsidR="00771A4F" w:rsidRDefault="00771A4F">
            <w:pPr>
              <w:pStyle w:val="TableParagraph"/>
              <w:ind w:left="0"/>
              <w:rPr>
                <w:rFonts w:ascii="Times New Roman"/>
              </w:rPr>
            </w:pPr>
          </w:p>
        </w:tc>
      </w:tr>
      <w:tr w:rsidR="00771A4F" w14:paraId="773C4181" w14:textId="77777777" w:rsidTr="6B28B114">
        <w:trPr>
          <w:trHeight w:val="805"/>
        </w:trPr>
        <w:tc>
          <w:tcPr>
            <w:tcW w:w="3891" w:type="dxa"/>
          </w:tcPr>
          <w:p w14:paraId="773C417F" w14:textId="77777777" w:rsidR="00771A4F" w:rsidRDefault="000568B2">
            <w:pPr>
              <w:pStyle w:val="TableParagraph"/>
              <w:spacing w:before="114"/>
              <w:rPr>
                <w:b/>
              </w:rPr>
            </w:pPr>
            <w:r>
              <w:rPr>
                <w:b/>
                <w:spacing w:val="-4"/>
              </w:rPr>
              <w:t>Name</w:t>
            </w:r>
          </w:p>
        </w:tc>
        <w:tc>
          <w:tcPr>
            <w:tcW w:w="3652" w:type="dxa"/>
          </w:tcPr>
          <w:p w14:paraId="773C4180" w14:textId="77777777" w:rsidR="00771A4F" w:rsidRDefault="000568B2">
            <w:pPr>
              <w:pStyle w:val="TableParagraph"/>
              <w:spacing w:before="114"/>
              <w:ind w:left="376" w:right="1562"/>
              <w:rPr>
                <w:b/>
              </w:rPr>
            </w:pPr>
            <w:r>
              <w:rPr>
                <w:b/>
                <w:spacing w:val="-2"/>
              </w:rPr>
              <w:t>Force/ Organisation</w:t>
            </w:r>
          </w:p>
        </w:tc>
      </w:tr>
      <w:tr w:rsidR="00771A4F" w14:paraId="773C4184" w14:textId="77777777" w:rsidTr="6B28B114">
        <w:trPr>
          <w:trHeight w:val="536"/>
        </w:trPr>
        <w:tc>
          <w:tcPr>
            <w:tcW w:w="3891" w:type="dxa"/>
          </w:tcPr>
          <w:p w14:paraId="773C4182" w14:textId="00295D48" w:rsidR="00771A4F" w:rsidDel="00BA54C1" w:rsidRDefault="000568B2">
            <w:pPr>
              <w:pStyle w:val="TableParagraph"/>
              <w:spacing w:before="113"/>
              <w:rPr>
                <w:spacing w:val="-2"/>
              </w:rPr>
            </w:pPr>
            <w:r>
              <w:t>Fiona</w:t>
            </w:r>
            <w:r>
              <w:rPr>
                <w:spacing w:val="-2"/>
              </w:rPr>
              <w:t xml:space="preserve"> </w:t>
            </w:r>
            <w:r>
              <w:t>Daley,</w:t>
            </w:r>
            <w:r>
              <w:rPr>
                <w:spacing w:val="-4"/>
              </w:rPr>
              <w:t xml:space="preserve"> </w:t>
            </w:r>
            <w:r>
              <w:rPr>
                <w:spacing w:val="-2"/>
              </w:rPr>
              <w:t>Chai</w:t>
            </w:r>
            <w:r w:rsidR="00BA54C1">
              <w:rPr>
                <w:spacing w:val="-2"/>
              </w:rPr>
              <w:t>r</w:t>
            </w:r>
          </w:p>
        </w:tc>
        <w:tc>
          <w:tcPr>
            <w:tcW w:w="3652" w:type="dxa"/>
          </w:tcPr>
          <w:p w14:paraId="3B67424B" w14:textId="77777777" w:rsidR="00771A4F" w:rsidRDefault="000568B2">
            <w:pPr>
              <w:pStyle w:val="TableParagraph"/>
              <w:spacing w:before="113"/>
              <w:ind w:left="376"/>
              <w:rPr>
                <w:spacing w:val="-2"/>
              </w:rPr>
            </w:pPr>
            <w:r>
              <w:rPr>
                <w:spacing w:val="-2"/>
              </w:rPr>
              <w:t>Independent</w:t>
            </w:r>
          </w:p>
          <w:p w14:paraId="773C4183" w14:textId="4973F275" w:rsidR="0040668C" w:rsidRDefault="0040668C">
            <w:pPr>
              <w:pStyle w:val="TableParagraph"/>
              <w:spacing w:before="113"/>
              <w:ind w:left="376"/>
            </w:pPr>
          </w:p>
        </w:tc>
      </w:tr>
      <w:tr w:rsidR="00771A4F" w14:paraId="773C4187" w14:textId="77777777" w:rsidTr="6B28B114">
        <w:trPr>
          <w:trHeight w:val="537"/>
        </w:trPr>
        <w:tc>
          <w:tcPr>
            <w:tcW w:w="3891" w:type="dxa"/>
          </w:tcPr>
          <w:p w14:paraId="773C4185" w14:textId="661FB3FE" w:rsidR="00771A4F" w:rsidRDefault="000568B2">
            <w:pPr>
              <w:pStyle w:val="TableParagraph"/>
              <w:spacing w:before="114"/>
            </w:pPr>
            <w:r>
              <w:rPr>
                <w:u w:val="single"/>
              </w:rPr>
              <w:t>S</w:t>
            </w:r>
            <w:r w:rsidR="00BA54C1" w:rsidRPr="6B28B114">
              <w:rPr>
                <w:u w:val="single"/>
              </w:rPr>
              <w:t>cheme</w:t>
            </w:r>
            <w:r w:rsidR="00BA54C1">
              <w:rPr>
                <w:spacing w:val="-5"/>
                <w:u w:val="single"/>
              </w:rPr>
              <w:t xml:space="preserve"> Manager </w:t>
            </w:r>
            <w:r>
              <w:rPr>
                <w:spacing w:val="-2"/>
                <w:u w:val="single"/>
              </w:rPr>
              <w:t>Representatives</w:t>
            </w:r>
            <w:r>
              <w:rPr>
                <w:spacing w:val="-2"/>
              </w:rPr>
              <w:t>:</w:t>
            </w:r>
          </w:p>
        </w:tc>
        <w:tc>
          <w:tcPr>
            <w:tcW w:w="3652" w:type="dxa"/>
          </w:tcPr>
          <w:p w14:paraId="773C4186" w14:textId="77777777" w:rsidR="00771A4F" w:rsidRDefault="00771A4F">
            <w:pPr>
              <w:pStyle w:val="TableParagraph"/>
              <w:ind w:left="0"/>
              <w:rPr>
                <w:rFonts w:ascii="Times New Roman"/>
              </w:rPr>
            </w:pPr>
          </w:p>
        </w:tc>
      </w:tr>
      <w:tr w:rsidR="00771A4F" w14:paraId="773C418A" w14:textId="77777777" w:rsidTr="6B28B114">
        <w:trPr>
          <w:trHeight w:val="403"/>
        </w:trPr>
        <w:tc>
          <w:tcPr>
            <w:tcW w:w="3891" w:type="dxa"/>
          </w:tcPr>
          <w:p w14:paraId="773C4188" w14:textId="10ADC8E3" w:rsidR="00771A4F" w:rsidRDefault="00BA54C1">
            <w:pPr>
              <w:pStyle w:val="TableParagraph"/>
              <w:spacing w:before="114"/>
            </w:pPr>
            <w:r>
              <w:t>Ian Cosh, Vice Chair</w:t>
            </w:r>
          </w:p>
        </w:tc>
        <w:tc>
          <w:tcPr>
            <w:tcW w:w="3652" w:type="dxa"/>
          </w:tcPr>
          <w:p w14:paraId="773C4189" w14:textId="49AB3DF0" w:rsidR="00771A4F" w:rsidRDefault="00BA54C1">
            <w:pPr>
              <w:pStyle w:val="TableParagraph"/>
              <w:spacing w:before="114"/>
              <w:ind w:left="376"/>
            </w:pPr>
            <w:r>
              <w:rPr>
                <w:spacing w:val="-2"/>
              </w:rPr>
              <w:t>GMP</w:t>
            </w:r>
          </w:p>
        </w:tc>
      </w:tr>
      <w:tr w:rsidR="00771A4F" w14:paraId="773C418D" w14:textId="77777777" w:rsidTr="6B28B114">
        <w:trPr>
          <w:trHeight w:val="268"/>
        </w:trPr>
        <w:tc>
          <w:tcPr>
            <w:tcW w:w="3891" w:type="dxa"/>
          </w:tcPr>
          <w:p w14:paraId="773C418B" w14:textId="08D4EABB" w:rsidR="00771A4F" w:rsidRDefault="368A0DF8">
            <w:pPr>
              <w:pStyle w:val="TableParagraph"/>
              <w:spacing w:line="249" w:lineRule="exact"/>
            </w:pPr>
            <w:r>
              <w:t>Judith West</w:t>
            </w:r>
          </w:p>
        </w:tc>
        <w:tc>
          <w:tcPr>
            <w:tcW w:w="3652" w:type="dxa"/>
          </w:tcPr>
          <w:p w14:paraId="773C418C" w14:textId="77777777" w:rsidR="00771A4F" w:rsidRDefault="000568B2">
            <w:pPr>
              <w:pStyle w:val="TableParagraph"/>
              <w:spacing w:line="249" w:lineRule="exact"/>
              <w:ind w:left="376"/>
            </w:pPr>
            <w:r>
              <w:rPr>
                <w:spacing w:val="-2"/>
              </w:rPr>
              <w:t>Cheshire</w:t>
            </w:r>
          </w:p>
        </w:tc>
      </w:tr>
      <w:tr w:rsidR="00771A4F" w14:paraId="773C4190" w14:textId="77777777" w:rsidTr="6B28B114">
        <w:trPr>
          <w:trHeight w:val="269"/>
        </w:trPr>
        <w:tc>
          <w:tcPr>
            <w:tcW w:w="3891" w:type="dxa"/>
          </w:tcPr>
          <w:p w14:paraId="773C418E" w14:textId="77777777" w:rsidR="00771A4F" w:rsidRDefault="000568B2">
            <w:pPr>
              <w:pStyle w:val="TableParagraph"/>
              <w:spacing w:line="249" w:lineRule="exact"/>
            </w:pPr>
            <w:r>
              <w:t>Ann</w:t>
            </w:r>
            <w:r>
              <w:rPr>
                <w:spacing w:val="-5"/>
              </w:rPr>
              <w:t xml:space="preserve"> </w:t>
            </w:r>
            <w:r>
              <w:rPr>
                <w:spacing w:val="-2"/>
              </w:rPr>
              <w:t>Dobinson</w:t>
            </w:r>
          </w:p>
        </w:tc>
        <w:tc>
          <w:tcPr>
            <w:tcW w:w="3652" w:type="dxa"/>
          </w:tcPr>
          <w:p w14:paraId="773C418F" w14:textId="77777777" w:rsidR="00771A4F" w:rsidRDefault="000568B2">
            <w:pPr>
              <w:pStyle w:val="TableParagraph"/>
              <w:spacing w:line="249" w:lineRule="exact"/>
              <w:ind w:left="376"/>
            </w:pPr>
            <w:r>
              <w:rPr>
                <w:spacing w:val="-2"/>
              </w:rPr>
              <w:t>Cumbria</w:t>
            </w:r>
          </w:p>
        </w:tc>
      </w:tr>
      <w:tr w:rsidR="00771A4F" w14:paraId="773C4193" w14:textId="77777777" w:rsidTr="6B28B114">
        <w:trPr>
          <w:trHeight w:val="268"/>
        </w:trPr>
        <w:tc>
          <w:tcPr>
            <w:tcW w:w="3891" w:type="dxa"/>
          </w:tcPr>
          <w:p w14:paraId="773C4191" w14:textId="32947E14" w:rsidR="00771A4F" w:rsidRDefault="00771A4F">
            <w:pPr>
              <w:pStyle w:val="TableParagraph"/>
              <w:spacing w:line="249" w:lineRule="exact"/>
            </w:pPr>
          </w:p>
        </w:tc>
        <w:tc>
          <w:tcPr>
            <w:tcW w:w="3652" w:type="dxa"/>
          </w:tcPr>
          <w:p w14:paraId="773C4192" w14:textId="4DEC406A" w:rsidR="00771A4F" w:rsidRDefault="00771A4F">
            <w:pPr>
              <w:pStyle w:val="TableParagraph"/>
              <w:spacing w:line="249" w:lineRule="exact"/>
              <w:ind w:left="376"/>
            </w:pPr>
          </w:p>
        </w:tc>
      </w:tr>
      <w:tr w:rsidR="00771A4F" w14:paraId="773C4196" w14:textId="77777777" w:rsidTr="6B28B114">
        <w:trPr>
          <w:trHeight w:val="402"/>
        </w:trPr>
        <w:tc>
          <w:tcPr>
            <w:tcW w:w="3891" w:type="dxa"/>
          </w:tcPr>
          <w:p w14:paraId="0E2E0BEB" w14:textId="0327D8CA" w:rsidR="00771A4F" w:rsidRDefault="6B60E8C2">
            <w:pPr>
              <w:pStyle w:val="TableParagraph"/>
              <w:spacing w:line="249" w:lineRule="exact"/>
            </w:pPr>
            <w:r>
              <w:t>Jennifer Pennifold</w:t>
            </w:r>
          </w:p>
          <w:p w14:paraId="773C4194" w14:textId="2CB7E3D1" w:rsidR="005F7F8F" w:rsidRDefault="6B60E8C2">
            <w:pPr>
              <w:pStyle w:val="TableParagraph"/>
              <w:spacing w:line="249" w:lineRule="exact"/>
            </w:pPr>
            <w:r>
              <w:t>Tony Wilkinson</w:t>
            </w:r>
          </w:p>
        </w:tc>
        <w:tc>
          <w:tcPr>
            <w:tcW w:w="3652" w:type="dxa"/>
          </w:tcPr>
          <w:p w14:paraId="401DBE17" w14:textId="77777777" w:rsidR="00771A4F" w:rsidRDefault="000568B2">
            <w:pPr>
              <w:pStyle w:val="TableParagraph"/>
              <w:spacing w:line="249" w:lineRule="exact"/>
              <w:ind w:left="376"/>
              <w:rPr>
                <w:spacing w:val="-2"/>
              </w:rPr>
            </w:pPr>
            <w:r>
              <w:rPr>
                <w:spacing w:val="-2"/>
              </w:rPr>
              <w:t>Merseyside</w:t>
            </w:r>
          </w:p>
          <w:p w14:paraId="773C4195" w14:textId="1CEBA728" w:rsidR="005F7F8F" w:rsidRDefault="0C20B15B">
            <w:pPr>
              <w:pStyle w:val="TableParagraph"/>
              <w:spacing w:line="249" w:lineRule="exact"/>
              <w:ind w:left="376"/>
            </w:pPr>
            <w:r>
              <w:rPr>
                <w:spacing w:val="-2"/>
              </w:rPr>
              <w:t>Lancashire</w:t>
            </w:r>
          </w:p>
        </w:tc>
      </w:tr>
      <w:tr w:rsidR="00771A4F" w14:paraId="773C4199" w14:textId="77777777" w:rsidTr="6B28B114">
        <w:trPr>
          <w:trHeight w:val="536"/>
        </w:trPr>
        <w:tc>
          <w:tcPr>
            <w:tcW w:w="3891" w:type="dxa"/>
          </w:tcPr>
          <w:p w14:paraId="773C4197" w14:textId="3A97884D" w:rsidR="00771A4F" w:rsidRDefault="000568B2">
            <w:pPr>
              <w:pStyle w:val="TableParagraph"/>
              <w:spacing w:before="113"/>
            </w:pPr>
            <w:r>
              <w:rPr>
                <w:u w:val="single"/>
              </w:rPr>
              <w:t>Staff</w:t>
            </w:r>
            <w:r>
              <w:rPr>
                <w:spacing w:val="-5"/>
                <w:u w:val="single"/>
              </w:rPr>
              <w:t xml:space="preserve"> </w:t>
            </w:r>
            <w:r>
              <w:rPr>
                <w:spacing w:val="-2"/>
                <w:u w:val="single"/>
              </w:rPr>
              <w:t>Associations</w:t>
            </w:r>
            <w:r w:rsidR="00BA54C1">
              <w:rPr>
                <w:spacing w:val="-2"/>
                <w:u w:val="single"/>
              </w:rPr>
              <w:t xml:space="preserve"> </w:t>
            </w:r>
            <w:r w:rsidR="65DC2166">
              <w:rPr>
                <w:spacing w:val="-2"/>
              </w:rPr>
              <w:t>Representatives:</w:t>
            </w:r>
          </w:p>
        </w:tc>
        <w:tc>
          <w:tcPr>
            <w:tcW w:w="3652" w:type="dxa"/>
          </w:tcPr>
          <w:p w14:paraId="773C4198" w14:textId="77777777" w:rsidR="00771A4F" w:rsidRDefault="00771A4F">
            <w:pPr>
              <w:pStyle w:val="TableParagraph"/>
              <w:ind w:left="0"/>
              <w:rPr>
                <w:rFonts w:ascii="Times New Roman"/>
              </w:rPr>
            </w:pPr>
          </w:p>
        </w:tc>
      </w:tr>
      <w:tr w:rsidR="00771A4F" w14:paraId="773C419C" w14:textId="77777777" w:rsidTr="6B28B114">
        <w:trPr>
          <w:trHeight w:val="403"/>
        </w:trPr>
        <w:tc>
          <w:tcPr>
            <w:tcW w:w="3891" w:type="dxa"/>
          </w:tcPr>
          <w:p w14:paraId="773C419A" w14:textId="4AA40B26" w:rsidR="00771A4F" w:rsidRDefault="00BA54C1">
            <w:pPr>
              <w:pStyle w:val="TableParagraph"/>
              <w:spacing w:before="114"/>
            </w:pPr>
            <w:r>
              <w:t xml:space="preserve">Supt Richard Robertshaw </w:t>
            </w:r>
          </w:p>
        </w:tc>
        <w:tc>
          <w:tcPr>
            <w:tcW w:w="3652" w:type="dxa"/>
          </w:tcPr>
          <w:p w14:paraId="773C419B" w14:textId="77777777" w:rsidR="00771A4F" w:rsidRDefault="000568B2">
            <w:pPr>
              <w:pStyle w:val="TableParagraph"/>
              <w:spacing w:before="114"/>
              <w:ind w:left="405"/>
            </w:pPr>
            <w:r>
              <w:t>Police</w:t>
            </w:r>
            <w:r>
              <w:rPr>
                <w:spacing w:val="-5"/>
              </w:rPr>
              <w:t xml:space="preserve"> </w:t>
            </w:r>
            <w:r>
              <w:t>Superintendent’s</w:t>
            </w:r>
            <w:r>
              <w:rPr>
                <w:spacing w:val="-5"/>
              </w:rPr>
              <w:t xml:space="preserve"> </w:t>
            </w:r>
            <w:r>
              <w:rPr>
                <w:spacing w:val="-2"/>
              </w:rPr>
              <w:t>Association</w:t>
            </w:r>
          </w:p>
        </w:tc>
      </w:tr>
      <w:tr w:rsidR="00771A4F" w14:paraId="773C419F" w14:textId="77777777" w:rsidTr="6B28B114">
        <w:trPr>
          <w:trHeight w:val="268"/>
        </w:trPr>
        <w:tc>
          <w:tcPr>
            <w:tcW w:w="3891" w:type="dxa"/>
          </w:tcPr>
          <w:p w14:paraId="773C419D" w14:textId="2F64FF44" w:rsidR="00771A4F" w:rsidRDefault="00DE2541">
            <w:pPr>
              <w:pStyle w:val="TableParagraph"/>
              <w:spacing w:line="249" w:lineRule="exact"/>
            </w:pPr>
            <w:r>
              <w:rPr>
                <w:spacing w:val="-2"/>
              </w:rPr>
              <w:t>Rachel Hanley</w:t>
            </w:r>
          </w:p>
        </w:tc>
        <w:tc>
          <w:tcPr>
            <w:tcW w:w="3652" w:type="dxa"/>
          </w:tcPr>
          <w:p w14:paraId="773C419E" w14:textId="77777777" w:rsidR="00771A4F" w:rsidRDefault="000568B2">
            <w:pPr>
              <w:pStyle w:val="TableParagraph"/>
              <w:spacing w:line="249" w:lineRule="exact"/>
              <w:ind w:left="376"/>
            </w:pPr>
            <w:r>
              <w:t>Federation</w:t>
            </w:r>
            <w:r>
              <w:rPr>
                <w:spacing w:val="-6"/>
              </w:rPr>
              <w:t xml:space="preserve"> </w:t>
            </w:r>
            <w:r>
              <w:rPr>
                <w:spacing w:val="-2"/>
              </w:rPr>
              <w:t>(GMP)</w:t>
            </w:r>
          </w:p>
        </w:tc>
      </w:tr>
      <w:tr w:rsidR="00771A4F" w14:paraId="773C41A2" w14:textId="77777777" w:rsidTr="6B28B114">
        <w:trPr>
          <w:trHeight w:val="268"/>
        </w:trPr>
        <w:tc>
          <w:tcPr>
            <w:tcW w:w="3891" w:type="dxa"/>
          </w:tcPr>
          <w:p w14:paraId="773C41A0" w14:textId="540CE7E8" w:rsidR="00771A4F" w:rsidRDefault="00325EEF">
            <w:pPr>
              <w:pStyle w:val="TableParagraph"/>
              <w:spacing w:line="249" w:lineRule="exact"/>
            </w:pPr>
            <w:r>
              <w:t>Stuart Parry</w:t>
            </w:r>
          </w:p>
        </w:tc>
        <w:tc>
          <w:tcPr>
            <w:tcW w:w="3652" w:type="dxa"/>
          </w:tcPr>
          <w:p w14:paraId="773C41A1" w14:textId="77777777" w:rsidR="00771A4F" w:rsidRDefault="000568B2">
            <w:pPr>
              <w:pStyle w:val="TableParagraph"/>
              <w:spacing w:line="249" w:lineRule="exact"/>
              <w:ind w:left="376"/>
            </w:pPr>
            <w:r>
              <w:t>Federation</w:t>
            </w:r>
            <w:r>
              <w:rPr>
                <w:spacing w:val="-5"/>
              </w:rPr>
              <w:t xml:space="preserve"> </w:t>
            </w:r>
            <w:r>
              <w:rPr>
                <w:spacing w:val="-2"/>
              </w:rPr>
              <w:t>(Lancashire)</w:t>
            </w:r>
          </w:p>
        </w:tc>
      </w:tr>
      <w:tr w:rsidR="00771A4F" w14:paraId="773C41A5" w14:textId="77777777" w:rsidTr="6B28B114">
        <w:trPr>
          <w:trHeight w:val="268"/>
        </w:trPr>
        <w:tc>
          <w:tcPr>
            <w:tcW w:w="3891" w:type="dxa"/>
          </w:tcPr>
          <w:p w14:paraId="773C41A3" w14:textId="77777777" w:rsidR="00771A4F" w:rsidRDefault="000568B2">
            <w:pPr>
              <w:pStyle w:val="TableParagraph"/>
              <w:spacing w:line="249" w:lineRule="exact"/>
            </w:pPr>
            <w:r>
              <w:t>Ian</w:t>
            </w:r>
            <w:r>
              <w:rPr>
                <w:spacing w:val="-2"/>
              </w:rPr>
              <w:t xml:space="preserve"> Rennie</w:t>
            </w:r>
          </w:p>
        </w:tc>
        <w:tc>
          <w:tcPr>
            <w:tcW w:w="3652" w:type="dxa"/>
          </w:tcPr>
          <w:p w14:paraId="773C41A4" w14:textId="77777777" w:rsidR="00771A4F" w:rsidRDefault="000568B2">
            <w:pPr>
              <w:pStyle w:val="TableParagraph"/>
              <w:spacing w:line="249" w:lineRule="exact"/>
              <w:ind w:left="376"/>
            </w:pPr>
            <w:r>
              <w:rPr>
                <w:spacing w:val="-2"/>
              </w:rPr>
              <w:t>NARPO</w:t>
            </w:r>
          </w:p>
        </w:tc>
      </w:tr>
      <w:tr w:rsidR="00771A4F" w14:paraId="773C41A8" w14:textId="77777777" w:rsidTr="6B28B114">
        <w:trPr>
          <w:trHeight w:val="464"/>
        </w:trPr>
        <w:tc>
          <w:tcPr>
            <w:tcW w:w="3891" w:type="dxa"/>
          </w:tcPr>
          <w:p w14:paraId="773C41A6" w14:textId="77777777" w:rsidR="00771A4F" w:rsidRDefault="000568B2">
            <w:pPr>
              <w:pStyle w:val="TableParagraph"/>
              <w:spacing w:line="249" w:lineRule="exact"/>
            </w:pPr>
            <w:r>
              <w:t>Keith</w:t>
            </w:r>
            <w:r>
              <w:rPr>
                <w:spacing w:val="-3"/>
              </w:rPr>
              <w:t xml:space="preserve"> </w:t>
            </w:r>
            <w:r>
              <w:rPr>
                <w:spacing w:val="-2"/>
              </w:rPr>
              <w:t>Dickinson</w:t>
            </w:r>
          </w:p>
        </w:tc>
        <w:tc>
          <w:tcPr>
            <w:tcW w:w="3652" w:type="dxa"/>
          </w:tcPr>
          <w:p w14:paraId="773C41A7" w14:textId="77777777" w:rsidR="00771A4F" w:rsidRDefault="000568B2">
            <w:pPr>
              <w:pStyle w:val="TableParagraph"/>
              <w:spacing w:line="249" w:lineRule="exact"/>
              <w:ind w:left="376"/>
            </w:pPr>
            <w:r>
              <w:rPr>
                <w:spacing w:val="-4"/>
              </w:rPr>
              <w:t>CPOSA</w:t>
            </w:r>
          </w:p>
        </w:tc>
      </w:tr>
      <w:tr w:rsidR="00771A4F" w14:paraId="773C41AB" w14:textId="77777777" w:rsidTr="6B28B114">
        <w:trPr>
          <w:trHeight w:val="440"/>
        </w:trPr>
        <w:tc>
          <w:tcPr>
            <w:tcW w:w="3891" w:type="dxa"/>
          </w:tcPr>
          <w:p w14:paraId="71868515" w14:textId="77777777" w:rsidR="00771A4F" w:rsidRDefault="000568B2">
            <w:pPr>
              <w:pStyle w:val="TableParagraph"/>
              <w:spacing w:before="176" w:line="245" w:lineRule="exact"/>
              <w:rPr>
                <w:spacing w:val="-2"/>
              </w:rPr>
            </w:pPr>
            <w:r>
              <w:rPr>
                <w:u w:val="single"/>
              </w:rPr>
              <w:t>Stakeholders</w:t>
            </w:r>
            <w:r>
              <w:rPr>
                <w:spacing w:val="-7"/>
                <w:u w:val="single"/>
              </w:rPr>
              <w:t xml:space="preserve"> </w:t>
            </w:r>
            <w:r>
              <w:rPr>
                <w:u w:val="single"/>
              </w:rPr>
              <w:t>&amp;</w:t>
            </w:r>
            <w:r>
              <w:rPr>
                <w:spacing w:val="-4"/>
                <w:u w:val="single"/>
              </w:rPr>
              <w:t xml:space="preserve"> </w:t>
            </w:r>
            <w:r>
              <w:rPr>
                <w:u w:val="single"/>
              </w:rPr>
              <w:t>Subject</w:t>
            </w:r>
            <w:r>
              <w:rPr>
                <w:spacing w:val="-6"/>
                <w:u w:val="single"/>
              </w:rPr>
              <w:t xml:space="preserve"> </w:t>
            </w:r>
            <w:r>
              <w:rPr>
                <w:u w:val="single"/>
              </w:rPr>
              <w:t>Matter</w:t>
            </w:r>
            <w:r>
              <w:rPr>
                <w:spacing w:val="-6"/>
                <w:u w:val="single"/>
              </w:rPr>
              <w:t xml:space="preserve"> </w:t>
            </w:r>
            <w:r>
              <w:rPr>
                <w:spacing w:val="-2"/>
                <w:u w:val="single"/>
              </w:rPr>
              <w:t>Experts</w:t>
            </w:r>
            <w:r>
              <w:rPr>
                <w:spacing w:val="-2"/>
              </w:rPr>
              <w:t>:</w:t>
            </w:r>
          </w:p>
          <w:p w14:paraId="773C41A9" w14:textId="2A3ABF41" w:rsidR="001D67C1" w:rsidRDefault="252C240D">
            <w:pPr>
              <w:pStyle w:val="TableParagraph"/>
              <w:spacing w:before="176" w:line="245" w:lineRule="exact"/>
            </w:pPr>
            <w:r>
              <w:t>In addition to the formal Board members</w:t>
            </w:r>
            <w:r w:rsidR="27F9B274">
              <w:t xml:space="preserve"> set out above</w:t>
            </w:r>
            <w:r w:rsidR="0F4F8054">
              <w:t>, the Board permits a range of subject matter experts from across the Forces to attend</w:t>
            </w:r>
            <w:r w:rsidR="1D687E16">
              <w:t xml:space="preserve"> to assist with the </w:t>
            </w:r>
            <w:r w:rsidR="00BA54C1">
              <w:t>activities of the Board.</w:t>
            </w:r>
          </w:p>
        </w:tc>
        <w:tc>
          <w:tcPr>
            <w:tcW w:w="3652" w:type="dxa"/>
          </w:tcPr>
          <w:p w14:paraId="773C41AA" w14:textId="77777777" w:rsidR="00771A4F" w:rsidRDefault="00771A4F">
            <w:pPr>
              <w:pStyle w:val="TableParagraph"/>
              <w:ind w:left="0"/>
              <w:rPr>
                <w:rFonts w:ascii="Times New Roman"/>
              </w:rPr>
            </w:pPr>
          </w:p>
        </w:tc>
      </w:tr>
    </w:tbl>
    <w:p w14:paraId="773C41AC" w14:textId="77777777" w:rsidR="00771A4F" w:rsidRDefault="00771A4F">
      <w:pPr>
        <w:pStyle w:val="BodyText"/>
        <w:spacing w:before="12"/>
        <w:rPr>
          <w:b/>
        </w:rPr>
      </w:pPr>
    </w:p>
    <w:p w14:paraId="3C44695E" w14:textId="18CBD2F0" w:rsidR="00771A4F" w:rsidDel="001271F6" w:rsidRDefault="00771A4F" w:rsidP="6B28B114">
      <w:pPr>
        <w:pStyle w:val="BodyText"/>
        <w:ind w:left="1200"/>
      </w:pPr>
    </w:p>
    <w:p w14:paraId="138CA8DE" w14:textId="3DD60396" w:rsidR="6B28B114" w:rsidRDefault="6B28B114"/>
    <w:tbl>
      <w:tblPr>
        <w:tblW w:w="0" w:type="auto"/>
        <w:tblInd w:w="1157" w:type="dxa"/>
        <w:tblLayout w:type="fixed"/>
        <w:tblCellMar>
          <w:left w:w="0" w:type="dxa"/>
          <w:right w:w="0" w:type="dxa"/>
        </w:tblCellMar>
        <w:tblLook w:val="01E0" w:firstRow="1" w:lastRow="1" w:firstColumn="1" w:lastColumn="1" w:noHBand="0" w:noVBand="0"/>
      </w:tblPr>
      <w:tblGrid>
        <w:gridCol w:w="2885"/>
        <w:gridCol w:w="2417"/>
      </w:tblGrid>
      <w:tr w:rsidR="001271F6" w:rsidDel="001271F6" w14:paraId="023A70B5" w14:textId="77777777" w:rsidTr="6B28B114">
        <w:trPr>
          <w:trHeight w:val="243"/>
        </w:trPr>
        <w:tc>
          <w:tcPr>
            <w:tcW w:w="2885" w:type="dxa"/>
          </w:tcPr>
          <w:p w14:paraId="55BC2841" w14:textId="77777777" w:rsidR="001271F6" w:rsidRDefault="001271F6">
            <w:pPr>
              <w:pStyle w:val="TableParagraph"/>
              <w:spacing w:line="224" w:lineRule="exact"/>
            </w:pPr>
          </w:p>
          <w:p w14:paraId="7A5504C2" w14:textId="17027E83" w:rsidR="001271F6" w:rsidDel="001271F6" w:rsidRDefault="001271F6">
            <w:pPr>
              <w:pStyle w:val="TableParagraph"/>
              <w:spacing w:line="224" w:lineRule="exact"/>
            </w:pPr>
          </w:p>
        </w:tc>
        <w:tc>
          <w:tcPr>
            <w:tcW w:w="2417" w:type="dxa"/>
          </w:tcPr>
          <w:p w14:paraId="2AA47572" w14:textId="77777777" w:rsidR="001271F6" w:rsidDel="001271F6" w:rsidRDefault="001271F6">
            <w:pPr>
              <w:pStyle w:val="TableParagraph"/>
              <w:spacing w:line="224" w:lineRule="exact"/>
              <w:ind w:left="0" w:right="48"/>
              <w:jc w:val="right"/>
            </w:pPr>
          </w:p>
        </w:tc>
      </w:tr>
    </w:tbl>
    <w:p w14:paraId="773C41B5" w14:textId="77777777" w:rsidR="00771A4F" w:rsidRDefault="00771A4F">
      <w:pPr>
        <w:spacing w:line="224" w:lineRule="exact"/>
        <w:jc w:val="right"/>
        <w:sectPr w:rsidR="00771A4F">
          <w:pgSz w:w="11910" w:h="16840"/>
          <w:pgMar w:top="980" w:right="240" w:bottom="1280" w:left="240" w:header="763" w:footer="1084" w:gutter="0"/>
          <w:cols w:space="720"/>
        </w:sectPr>
      </w:pPr>
    </w:p>
    <w:p w14:paraId="773C41B6" w14:textId="77777777" w:rsidR="00771A4F" w:rsidRDefault="00771A4F">
      <w:pPr>
        <w:pStyle w:val="BodyText"/>
        <w:rPr>
          <w:sz w:val="20"/>
        </w:rPr>
      </w:pPr>
    </w:p>
    <w:p w14:paraId="773C41B7" w14:textId="77777777" w:rsidR="00771A4F" w:rsidRDefault="00771A4F">
      <w:pPr>
        <w:pStyle w:val="BodyText"/>
        <w:spacing w:before="4"/>
        <w:rPr>
          <w:sz w:val="26"/>
        </w:rPr>
      </w:pPr>
    </w:p>
    <w:p w14:paraId="773C41B8" w14:textId="77777777" w:rsidR="00771A4F" w:rsidRDefault="000568B2">
      <w:pPr>
        <w:pStyle w:val="Heading1"/>
        <w:spacing w:before="28"/>
      </w:pPr>
      <w:bookmarkStart w:id="3" w:name="_TOC_250001"/>
      <w:r>
        <w:t>TERMS</w:t>
      </w:r>
      <w:r>
        <w:rPr>
          <w:spacing w:val="-5"/>
        </w:rPr>
        <w:t xml:space="preserve"> </w:t>
      </w:r>
      <w:r>
        <w:t>OF</w:t>
      </w:r>
      <w:bookmarkEnd w:id="3"/>
      <w:r>
        <w:rPr>
          <w:spacing w:val="-2"/>
        </w:rPr>
        <w:t xml:space="preserve"> REFERENCE:</w:t>
      </w:r>
    </w:p>
    <w:p w14:paraId="773C41B9" w14:textId="77777777" w:rsidR="00771A4F" w:rsidRDefault="000568B2">
      <w:pPr>
        <w:pStyle w:val="BodyText"/>
        <w:spacing w:before="159"/>
        <w:ind w:left="1200" w:right="1192"/>
        <w:jc w:val="both"/>
      </w:pPr>
      <w:r>
        <w:t xml:space="preserve">The Terms of Reference can be found at </w:t>
      </w:r>
      <w:hyperlink r:id="rId12">
        <w:r>
          <w:rPr>
            <w:color w:val="0462C1"/>
            <w:u w:val="single" w:color="0462C1"/>
          </w:rPr>
          <w:t>https://www.lancashire.police.uk/about-us/accessing-</w:t>
        </w:r>
      </w:hyperlink>
      <w:r>
        <w:rPr>
          <w:color w:val="0462C1"/>
        </w:rPr>
        <w:t xml:space="preserve"> </w:t>
      </w:r>
      <w:hyperlink r:id="rId13">
        <w:r>
          <w:rPr>
            <w:color w:val="0462C1"/>
            <w:u w:val="single" w:color="0462C1"/>
          </w:rPr>
          <w:t>information/north-west-regional-police-pension-board/board-documentation</w:t>
        </w:r>
      </w:hyperlink>
      <w:r>
        <w:rPr>
          <w:color w:val="0462C1"/>
          <w:spacing w:val="80"/>
        </w:rPr>
        <w:t xml:space="preserve"> </w:t>
      </w:r>
      <w:r>
        <w:t>They were updated</w:t>
      </w:r>
      <w:r>
        <w:rPr>
          <w:spacing w:val="40"/>
        </w:rPr>
        <w:t xml:space="preserve"> </w:t>
      </w:r>
      <w:r>
        <w:t>in March 2019 and formally agreed by Scheme Managers in June 2019.</w:t>
      </w:r>
    </w:p>
    <w:p w14:paraId="773C41BA" w14:textId="77777777" w:rsidR="00771A4F" w:rsidRDefault="00771A4F">
      <w:pPr>
        <w:pStyle w:val="BodyText"/>
      </w:pPr>
    </w:p>
    <w:p w14:paraId="773C41BB" w14:textId="77777777" w:rsidR="00771A4F" w:rsidRDefault="00771A4F">
      <w:pPr>
        <w:pStyle w:val="BodyText"/>
        <w:spacing w:before="4"/>
        <w:rPr>
          <w:sz w:val="26"/>
        </w:rPr>
      </w:pPr>
    </w:p>
    <w:p w14:paraId="773C41BC" w14:textId="77777777" w:rsidR="00771A4F" w:rsidRDefault="000568B2">
      <w:pPr>
        <w:ind w:left="1200"/>
        <w:rPr>
          <w:b/>
          <w:sz w:val="36"/>
        </w:rPr>
      </w:pPr>
      <w:r>
        <w:rPr>
          <w:b/>
          <w:sz w:val="36"/>
        </w:rPr>
        <w:t>FINANCE</w:t>
      </w:r>
      <w:r>
        <w:rPr>
          <w:b/>
          <w:spacing w:val="-3"/>
          <w:sz w:val="36"/>
        </w:rPr>
        <w:t xml:space="preserve"> </w:t>
      </w:r>
      <w:r>
        <w:rPr>
          <w:b/>
          <w:sz w:val="36"/>
        </w:rPr>
        <w:t>AND</w:t>
      </w:r>
      <w:r>
        <w:rPr>
          <w:b/>
          <w:spacing w:val="1"/>
          <w:sz w:val="36"/>
        </w:rPr>
        <w:t xml:space="preserve"> </w:t>
      </w:r>
      <w:r>
        <w:rPr>
          <w:b/>
          <w:spacing w:val="-2"/>
          <w:sz w:val="36"/>
        </w:rPr>
        <w:t>RENUMERATION:</w:t>
      </w:r>
    </w:p>
    <w:p w14:paraId="773C41BD" w14:textId="6DEC8BEA" w:rsidR="00771A4F" w:rsidRDefault="000568B2">
      <w:pPr>
        <w:pStyle w:val="BodyText"/>
        <w:spacing w:before="160"/>
        <w:ind w:left="1200"/>
        <w:jc w:val="both"/>
      </w:pPr>
      <w:r>
        <w:t>The</w:t>
      </w:r>
      <w:r>
        <w:rPr>
          <w:spacing w:val="-5"/>
        </w:rPr>
        <w:t xml:space="preserve"> </w:t>
      </w:r>
      <w:r>
        <w:t>total</w:t>
      </w:r>
      <w:r>
        <w:rPr>
          <w:spacing w:val="-5"/>
        </w:rPr>
        <w:t xml:space="preserve"> </w:t>
      </w:r>
      <w:r>
        <w:t>cost</w:t>
      </w:r>
      <w:r>
        <w:rPr>
          <w:spacing w:val="-5"/>
        </w:rPr>
        <w:t xml:space="preserve"> </w:t>
      </w:r>
      <w:r>
        <w:t>of</w:t>
      </w:r>
      <w:r>
        <w:rPr>
          <w:spacing w:val="-3"/>
        </w:rPr>
        <w:t xml:space="preserve"> </w:t>
      </w:r>
      <w:r>
        <w:t>the</w:t>
      </w:r>
      <w:r>
        <w:rPr>
          <w:spacing w:val="-5"/>
        </w:rPr>
        <w:t xml:space="preserve"> </w:t>
      </w:r>
      <w:r>
        <w:t>Board</w:t>
      </w:r>
      <w:r>
        <w:rPr>
          <w:spacing w:val="-5"/>
        </w:rPr>
        <w:t xml:space="preserve"> </w:t>
      </w:r>
      <w:r>
        <w:t>in</w:t>
      </w:r>
      <w:r>
        <w:rPr>
          <w:spacing w:val="-4"/>
        </w:rPr>
        <w:t xml:space="preserve"> </w:t>
      </w:r>
      <w:r w:rsidR="00E47493">
        <w:t>2</w:t>
      </w:r>
      <w:r w:rsidR="00483BD1">
        <w:t>021/202</w:t>
      </w:r>
      <w:r w:rsidR="00BA54C1">
        <w:t>2</w:t>
      </w:r>
      <w:r>
        <w:rPr>
          <w:spacing w:val="-5"/>
        </w:rPr>
        <w:t xml:space="preserve"> </w:t>
      </w:r>
      <w:r>
        <w:t>was</w:t>
      </w:r>
      <w:r>
        <w:rPr>
          <w:spacing w:val="-5"/>
        </w:rPr>
        <w:t xml:space="preserve"> </w:t>
      </w:r>
      <w:r>
        <w:t>£</w:t>
      </w:r>
      <w:r w:rsidR="00EC5157">
        <w:t>9,82</w:t>
      </w:r>
      <w:r w:rsidR="00F41C2A">
        <w:t xml:space="preserve">4.41 </w:t>
      </w:r>
      <w:r>
        <w:t>made</w:t>
      </w:r>
      <w:r>
        <w:rPr>
          <w:spacing w:val="-2"/>
        </w:rPr>
        <w:t xml:space="preserve"> </w:t>
      </w:r>
      <w:r>
        <w:t>up</w:t>
      </w:r>
      <w:r>
        <w:rPr>
          <w:spacing w:val="-3"/>
        </w:rPr>
        <w:t xml:space="preserve"> </w:t>
      </w:r>
      <w:r>
        <w:rPr>
          <w:spacing w:val="-5"/>
        </w:rPr>
        <w:t>of:</w:t>
      </w:r>
    </w:p>
    <w:p w14:paraId="773C41BE" w14:textId="77777777" w:rsidR="00771A4F" w:rsidRDefault="00771A4F">
      <w:pPr>
        <w:pStyle w:val="BodyText"/>
        <w:spacing w:before="10"/>
        <w:rPr>
          <w:sz w:val="13"/>
        </w:rPr>
      </w:pPr>
    </w:p>
    <w:tbl>
      <w:tblPr>
        <w:tblW w:w="0" w:type="auto"/>
        <w:tblInd w:w="2499" w:type="dxa"/>
        <w:tblLayout w:type="fixed"/>
        <w:tblCellMar>
          <w:left w:w="0" w:type="dxa"/>
          <w:right w:w="0" w:type="dxa"/>
        </w:tblCellMar>
        <w:tblLook w:val="01E0" w:firstRow="1" w:lastRow="1" w:firstColumn="1" w:lastColumn="1" w:noHBand="0" w:noVBand="0"/>
      </w:tblPr>
      <w:tblGrid>
        <w:gridCol w:w="267"/>
        <w:gridCol w:w="1204"/>
        <w:gridCol w:w="4909"/>
      </w:tblGrid>
      <w:tr w:rsidR="00771A4F" w:rsidRPr="00620812" w14:paraId="773C41C2" w14:textId="77777777">
        <w:trPr>
          <w:trHeight w:val="342"/>
        </w:trPr>
        <w:tc>
          <w:tcPr>
            <w:tcW w:w="267" w:type="dxa"/>
          </w:tcPr>
          <w:p w14:paraId="773C41BF" w14:textId="77777777" w:rsidR="00771A4F" w:rsidRPr="00620812" w:rsidRDefault="000568B2">
            <w:pPr>
              <w:pStyle w:val="TableParagraph"/>
              <w:spacing w:line="247" w:lineRule="exact"/>
              <w:ind w:left="0" w:right="91"/>
              <w:jc w:val="center"/>
              <w:rPr>
                <w:rFonts w:ascii="Arial"/>
              </w:rPr>
            </w:pPr>
            <w:r w:rsidRPr="00620812">
              <w:rPr>
                <w:rFonts w:ascii="Arial"/>
              </w:rPr>
              <w:t>-</w:t>
            </w:r>
          </w:p>
        </w:tc>
        <w:tc>
          <w:tcPr>
            <w:tcW w:w="1204" w:type="dxa"/>
          </w:tcPr>
          <w:p w14:paraId="773C41C0" w14:textId="65D659E6" w:rsidR="00771A4F" w:rsidRPr="00620812" w:rsidRDefault="000568B2">
            <w:pPr>
              <w:pStyle w:val="TableParagraph"/>
              <w:spacing w:line="259" w:lineRule="exact"/>
              <w:ind w:left="83" w:right="107"/>
              <w:jc w:val="center"/>
            </w:pPr>
            <w:r w:rsidRPr="00620812">
              <w:rPr>
                <w:spacing w:val="-2"/>
              </w:rPr>
              <w:t>£5,</w:t>
            </w:r>
            <w:r w:rsidR="00F41C2A" w:rsidRPr="00620812">
              <w:rPr>
                <w:spacing w:val="-2"/>
              </w:rPr>
              <w:t>765.04</w:t>
            </w:r>
          </w:p>
        </w:tc>
        <w:tc>
          <w:tcPr>
            <w:tcW w:w="4909" w:type="dxa"/>
          </w:tcPr>
          <w:p w14:paraId="773C41C1" w14:textId="77777777" w:rsidR="00771A4F" w:rsidRPr="00620812" w:rsidRDefault="000568B2">
            <w:pPr>
              <w:pStyle w:val="TableParagraph"/>
              <w:spacing w:line="259" w:lineRule="exact"/>
              <w:ind w:left="118"/>
            </w:pPr>
            <w:r w:rsidRPr="00620812">
              <w:t>Chairman’s</w:t>
            </w:r>
            <w:r w:rsidRPr="00620812">
              <w:rPr>
                <w:spacing w:val="-8"/>
              </w:rPr>
              <w:t xml:space="preserve"> </w:t>
            </w:r>
            <w:r w:rsidRPr="00620812">
              <w:t>Remuneration</w:t>
            </w:r>
            <w:r w:rsidRPr="00620812">
              <w:rPr>
                <w:spacing w:val="-6"/>
              </w:rPr>
              <w:t xml:space="preserve"> </w:t>
            </w:r>
            <w:r w:rsidRPr="00620812">
              <w:t>and</w:t>
            </w:r>
            <w:r w:rsidRPr="00620812">
              <w:rPr>
                <w:spacing w:val="-4"/>
              </w:rPr>
              <w:t xml:space="preserve"> </w:t>
            </w:r>
            <w:r w:rsidRPr="00620812">
              <w:rPr>
                <w:spacing w:val="-2"/>
              </w:rPr>
              <w:t>expenses</w:t>
            </w:r>
          </w:p>
        </w:tc>
      </w:tr>
      <w:tr w:rsidR="00771A4F" w:rsidRPr="00620812" w14:paraId="773C41C6" w14:textId="77777777">
        <w:trPr>
          <w:trHeight w:val="429"/>
        </w:trPr>
        <w:tc>
          <w:tcPr>
            <w:tcW w:w="267" w:type="dxa"/>
          </w:tcPr>
          <w:p w14:paraId="773C41C3" w14:textId="77777777" w:rsidR="00771A4F" w:rsidRPr="00620812" w:rsidRDefault="000568B2">
            <w:pPr>
              <w:pStyle w:val="TableParagraph"/>
              <w:spacing w:before="80"/>
              <w:ind w:left="0" w:right="91"/>
              <w:jc w:val="center"/>
              <w:rPr>
                <w:rFonts w:ascii="Arial"/>
              </w:rPr>
            </w:pPr>
            <w:r w:rsidRPr="00620812">
              <w:rPr>
                <w:rFonts w:ascii="Arial"/>
              </w:rPr>
              <w:t>-</w:t>
            </w:r>
          </w:p>
        </w:tc>
        <w:tc>
          <w:tcPr>
            <w:tcW w:w="1204" w:type="dxa"/>
          </w:tcPr>
          <w:p w14:paraId="773C41C4" w14:textId="39E59DBF" w:rsidR="00771A4F" w:rsidRPr="00620812" w:rsidRDefault="000568B2">
            <w:pPr>
              <w:pStyle w:val="TableParagraph"/>
              <w:spacing w:before="77"/>
              <w:ind w:left="67" w:right="107"/>
              <w:jc w:val="center"/>
            </w:pPr>
            <w:r w:rsidRPr="00620812">
              <w:t>£</w:t>
            </w:r>
            <w:r w:rsidRPr="00620812">
              <w:rPr>
                <w:spacing w:val="75"/>
                <w:w w:val="150"/>
              </w:rPr>
              <w:t xml:space="preserve"> </w:t>
            </w:r>
            <w:r w:rsidR="00D52A54" w:rsidRPr="00620812">
              <w:rPr>
                <w:spacing w:val="-2"/>
              </w:rPr>
              <w:t>25.20</w:t>
            </w:r>
          </w:p>
        </w:tc>
        <w:tc>
          <w:tcPr>
            <w:tcW w:w="4909" w:type="dxa"/>
          </w:tcPr>
          <w:p w14:paraId="773C41C5" w14:textId="77777777" w:rsidR="00771A4F" w:rsidRPr="00620812" w:rsidRDefault="000568B2">
            <w:pPr>
              <w:pStyle w:val="TableParagraph"/>
              <w:spacing w:before="77"/>
              <w:ind w:left="118"/>
            </w:pPr>
            <w:r w:rsidRPr="00620812">
              <w:t>Members’</w:t>
            </w:r>
            <w:r w:rsidRPr="00620812">
              <w:rPr>
                <w:spacing w:val="-7"/>
              </w:rPr>
              <w:t xml:space="preserve"> </w:t>
            </w:r>
            <w:r w:rsidRPr="00620812">
              <w:rPr>
                <w:spacing w:val="-2"/>
              </w:rPr>
              <w:t>Expenses</w:t>
            </w:r>
          </w:p>
        </w:tc>
      </w:tr>
      <w:tr w:rsidR="00771A4F" w:rsidRPr="00620812" w14:paraId="773C41CA" w14:textId="77777777">
        <w:trPr>
          <w:trHeight w:val="428"/>
        </w:trPr>
        <w:tc>
          <w:tcPr>
            <w:tcW w:w="267" w:type="dxa"/>
          </w:tcPr>
          <w:p w14:paraId="773C41C7" w14:textId="77777777" w:rsidR="00771A4F" w:rsidRPr="00620812" w:rsidRDefault="000568B2">
            <w:pPr>
              <w:pStyle w:val="TableParagraph"/>
              <w:spacing w:before="80"/>
              <w:ind w:left="0" w:right="91"/>
              <w:jc w:val="center"/>
              <w:rPr>
                <w:rFonts w:ascii="Arial"/>
              </w:rPr>
            </w:pPr>
            <w:r w:rsidRPr="00620812">
              <w:rPr>
                <w:rFonts w:ascii="Arial"/>
              </w:rPr>
              <w:t>-</w:t>
            </w:r>
          </w:p>
        </w:tc>
        <w:tc>
          <w:tcPr>
            <w:tcW w:w="1204" w:type="dxa"/>
          </w:tcPr>
          <w:p w14:paraId="773C41C8" w14:textId="7131DAF7" w:rsidR="00771A4F" w:rsidRPr="00620812" w:rsidRDefault="000568B2">
            <w:pPr>
              <w:pStyle w:val="TableParagraph"/>
              <w:spacing w:before="77"/>
              <w:ind w:left="130" w:right="106"/>
              <w:jc w:val="center"/>
            </w:pPr>
            <w:r w:rsidRPr="00620812">
              <w:t xml:space="preserve">£ </w:t>
            </w:r>
            <w:r w:rsidRPr="00620812">
              <w:rPr>
                <w:spacing w:val="-2"/>
              </w:rPr>
              <w:t>3,</w:t>
            </w:r>
            <w:r w:rsidR="00D52A54" w:rsidRPr="00620812">
              <w:rPr>
                <w:spacing w:val="-2"/>
              </w:rPr>
              <w:t>804.17</w:t>
            </w:r>
          </w:p>
        </w:tc>
        <w:tc>
          <w:tcPr>
            <w:tcW w:w="4909" w:type="dxa"/>
          </w:tcPr>
          <w:p w14:paraId="773C41C9" w14:textId="77777777" w:rsidR="00771A4F" w:rsidRPr="00620812" w:rsidRDefault="000568B2">
            <w:pPr>
              <w:pStyle w:val="TableParagraph"/>
              <w:spacing w:before="77"/>
              <w:ind w:left="118"/>
            </w:pPr>
            <w:r w:rsidRPr="00620812">
              <w:t>Administrative</w:t>
            </w:r>
            <w:r w:rsidRPr="00620812">
              <w:rPr>
                <w:spacing w:val="-5"/>
              </w:rPr>
              <w:t xml:space="preserve"> </w:t>
            </w:r>
            <w:r w:rsidRPr="00620812">
              <w:t>Cost</w:t>
            </w:r>
            <w:r w:rsidRPr="00620812">
              <w:rPr>
                <w:spacing w:val="-4"/>
              </w:rPr>
              <w:t xml:space="preserve"> </w:t>
            </w:r>
            <w:r w:rsidRPr="00620812">
              <w:t>for</w:t>
            </w:r>
            <w:r w:rsidRPr="00620812">
              <w:rPr>
                <w:spacing w:val="-3"/>
              </w:rPr>
              <w:t xml:space="preserve"> </w:t>
            </w:r>
            <w:r w:rsidRPr="00620812">
              <w:t>the</w:t>
            </w:r>
            <w:r w:rsidRPr="00620812">
              <w:rPr>
                <w:spacing w:val="-5"/>
              </w:rPr>
              <w:t xml:space="preserve"> </w:t>
            </w:r>
            <w:r w:rsidRPr="00620812">
              <w:t>Board</w:t>
            </w:r>
            <w:r w:rsidRPr="00620812">
              <w:rPr>
                <w:spacing w:val="-5"/>
              </w:rPr>
              <w:t xml:space="preserve"> </w:t>
            </w:r>
            <w:r w:rsidRPr="00620812">
              <w:t>(including</w:t>
            </w:r>
            <w:r w:rsidRPr="00620812">
              <w:rPr>
                <w:spacing w:val="-4"/>
              </w:rPr>
              <w:t xml:space="preserve"> </w:t>
            </w:r>
            <w:r w:rsidRPr="00620812">
              <w:rPr>
                <w:spacing w:val="-2"/>
              </w:rPr>
              <w:t>website)</w:t>
            </w:r>
          </w:p>
        </w:tc>
      </w:tr>
      <w:tr w:rsidR="00771A4F" w:rsidRPr="00620812" w14:paraId="773C41CE" w14:textId="77777777">
        <w:trPr>
          <w:trHeight w:val="341"/>
        </w:trPr>
        <w:tc>
          <w:tcPr>
            <w:tcW w:w="267" w:type="dxa"/>
          </w:tcPr>
          <w:p w14:paraId="773C41CB" w14:textId="77777777" w:rsidR="00771A4F" w:rsidRPr="00620812" w:rsidRDefault="000568B2">
            <w:pPr>
              <w:pStyle w:val="TableParagraph"/>
              <w:spacing w:before="79" w:line="242" w:lineRule="exact"/>
              <w:ind w:left="0" w:right="91"/>
              <w:jc w:val="center"/>
              <w:rPr>
                <w:rFonts w:ascii="Arial"/>
              </w:rPr>
            </w:pPr>
            <w:r w:rsidRPr="00620812">
              <w:rPr>
                <w:rFonts w:ascii="Arial"/>
              </w:rPr>
              <w:t>-</w:t>
            </w:r>
          </w:p>
        </w:tc>
        <w:tc>
          <w:tcPr>
            <w:tcW w:w="1204" w:type="dxa"/>
          </w:tcPr>
          <w:p w14:paraId="773C41CC" w14:textId="480ED44E" w:rsidR="00771A4F" w:rsidRPr="00620812" w:rsidRDefault="000568B2">
            <w:pPr>
              <w:pStyle w:val="TableParagraph"/>
              <w:tabs>
                <w:tab w:val="left" w:pos="320"/>
              </w:tabs>
              <w:spacing w:before="76" w:line="245" w:lineRule="exact"/>
              <w:ind w:left="7"/>
              <w:jc w:val="center"/>
            </w:pPr>
            <w:r w:rsidRPr="00620812">
              <w:rPr>
                <w:spacing w:val="-10"/>
              </w:rPr>
              <w:t>£</w:t>
            </w:r>
            <w:r w:rsidRPr="00620812">
              <w:tab/>
            </w:r>
            <w:r w:rsidR="00682409" w:rsidRPr="00620812">
              <w:rPr>
                <w:spacing w:val="-2"/>
              </w:rPr>
              <w:t>230.00</w:t>
            </w:r>
          </w:p>
        </w:tc>
        <w:tc>
          <w:tcPr>
            <w:tcW w:w="4909" w:type="dxa"/>
          </w:tcPr>
          <w:p w14:paraId="773C41CD" w14:textId="77777777" w:rsidR="00771A4F" w:rsidRPr="00620812" w:rsidRDefault="000568B2">
            <w:pPr>
              <w:pStyle w:val="TableParagraph"/>
              <w:spacing w:before="76" w:line="245" w:lineRule="exact"/>
              <w:ind w:left="118"/>
            </w:pPr>
            <w:r w:rsidRPr="00620812">
              <w:t>Refreshments</w:t>
            </w:r>
            <w:r w:rsidRPr="00620812">
              <w:rPr>
                <w:spacing w:val="-3"/>
              </w:rPr>
              <w:t xml:space="preserve"> </w:t>
            </w:r>
            <w:r w:rsidRPr="00620812">
              <w:t>at</w:t>
            </w:r>
            <w:r w:rsidRPr="00620812">
              <w:rPr>
                <w:spacing w:val="-4"/>
              </w:rPr>
              <w:t xml:space="preserve"> </w:t>
            </w:r>
            <w:r w:rsidRPr="00620812">
              <w:t>Board</w:t>
            </w:r>
            <w:r w:rsidRPr="00620812">
              <w:rPr>
                <w:spacing w:val="-3"/>
              </w:rPr>
              <w:t xml:space="preserve"> </w:t>
            </w:r>
            <w:r w:rsidRPr="00620812">
              <w:rPr>
                <w:spacing w:val="-2"/>
              </w:rPr>
              <w:t>Meetings</w:t>
            </w:r>
          </w:p>
        </w:tc>
      </w:tr>
    </w:tbl>
    <w:p w14:paraId="773C41CF" w14:textId="05893EEB" w:rsidR="00771A4F" w:rsidRDefault="000568B2">
      <w:pPr>
        <w:pStyle w:val="BodyText"/>
        <w:spacing w:before="166"/>
        <w:ind w:left="1200" w:right="1199"/>
        <w:jc w:val="both"/>
      </w:pPr>
      <w:r w:rsidRPr="00620812">
        <w:t>The total</w:t>
      </w:r>
      <w:r w:rsidRPr="00620812">
        <w:rPr>
          <w:spacing w:val="-1"/>
        </w:rPr>
        <w:t xml:space="preserve"> </w:t>
      </w:r>
      <w:r w:rsidRPr="00620812">
        <w:t>cost of</w:t>
      </w:r>
      <w:r w:rsidRPr="00620812">
        <w:rPr>
          <w:spacing w:val="-1"/>
        </w:rPr>
        <w:t xml:space="preserve"> </w:t>
      </w:r>
      <w:r w:rsidRPr="00620812">
        <w:t>the Board</w:t>
      </w:r>
      <w:r w:rsidRPr="00620812">
        <w:rPr>
          <w:spacing w:val="-5"/>
        </w:rPr>
        <w:t xml:space="preserve"> </w:t>
      </w:r>
      <w:r w:rsidRPr="00620812">
        <w:t>in 20</w:t>
      </w:r>
      <w:r w:rsidR="00BA54C1" w:rsidRPr="00620812">
        <w:t>21</w:t>
      </w:r>
      <w:r w:rsidRPr="00620812">
        <w:t>/2</w:t>
      </w:r>
      <w:r w:rsidR="00BA54C1" w:rsidRPr="00620812">
        <w:t>2</w:t>
      </w:r>
      <w:r w:rsidRPr="00620812">
        <w:t xml:space="preserve"> was</w:t>
      </w:r>
      <w:r w:rsidRPr="00620812">
        <w:rPr>
          <w:spacing w:val="-1"/>
        </w:rPr>
        <w:t xml:space="preserve"> </w:t>
      </w:r>
      <w:r w:rsidRPr="00620812">
        <w:t>met in</w:t>
      </w:r>
      <w:r w:rsidRPr="00620812">
        <w:rPr>
          <w:spacing w:val="-2"/>
        </w:rPr>
        <w:t xml:space="preserve"> </w:t>
      </w:r>
      <w:r w:rsidRPr="00620812">
        <w:t>equal shares by</w:t>
      </w:r>
      <w:r w:rsidRPr="00620812">
        <w:rPr>
          <w:spacing w:val="-1"/>
        </w:rPr>
        <w:t xml:space="preserve"> </w:t>
      </w:r>
      <w:r w:rsidRPr="00620812">
        <w:t>each</w:t>
      </w:r>
      <w:r w:rsidRPr="00620812">
        <w:rPr>
          <w:spacing w:val="-2"/>
        </w:rPr>
        <w:t xml:space="preserve"> </w:t>
      </w:r>
      <w:r w:rsidRPr="00620812">
        <w:t>of</w:t>
      </w:r>
      <w:r w:rsidRPr="00620812">
        <w:rPr>
          <w:spacing w:val="-1"/>
        </w:rPr>
        <w:t xml:space="preserve"> </w:t>
      </w:r>
      <w:r w:rsidRPr="00620812">
        <w:t>the five North West forces with a recharge from Lancashire to the other forces of £</w:t>
      </w:r>
      <w:r w:rsidR="00620812" w:rsidRPr="00620812">
        <w:t xml:space="preserve">1,964.88 </w:t>
      </w:r>
      <w:r w:rsidRPr="00620812">
        <w:t>per force.</w:t>
      </w:r>
    </w:p>
    <w:p w14:paraId="773C41D1" w14:textId="63EE7DCD" w:rsidR="00771A4F" w:rsidRDefault="00771A4F" w:rsidP="6B28B114">
      <w:pPr>
        <w:pStyle w:val="BodyText"/>
        <w:spacing w:before="4"/>
      </w:pPr>
    </w:p>
    <w:p w14:paraId="773C41D2" w14:textId="77777777" w:rsidR="00771A4F" w:rsidRDefault="000568B2">
      <w:pPr>
        <w:pStyle w:val="Heading1"/>
      </w:pPr>
      <w:bookmarkStart w:id="4" w:name="_TOC_250000"/>
      <w:r>
        <w:t xml:space="preserve">ACHIEVEMENTS AND </w:t>
      </w:r>
      <w:bookmarkEnd w:id="4"/>
      <w:r>
        <w:rPr>
          <w:spacing w:val="-2"/>
        </w:rPr>
        <w:t>OBJECTIVES:</w:t>
      </w:r>
    </w:p>
    <w:p w14:paraId="773C41D3" w14:textId="0871C313" w:rsidR="00771A4F" w:rsidRDefault="000568B2">
      <w:pPr>
        <w:pStyle w:val="BodyText"/>
        <w:spacing w:before="157"/>
        <w:ind w:left="1200" w:right="1193"/>
        <w:jc w:val="both"/>
      </w:pPr>
      <w:r>
        <w:t xml:space="preserve">As mentioned in the Executive Summary, </w:t>
      </w:r>
      <w:r w:rsidR="00E374D7">
        <w:t>during</w:t>
      </w:r>
      <w:r>
        <w:t xml:space="preserve"> </w:t>
      </w:r>
      <w:r w:rsidR="000321EE">
        <w:t>2021/2022</w:t>
      </w:r>
      <w:r>
        <w:t xml:space="preserve"> the Board achieved a number of its objectives, including: -</w:t>
      </w:r>
    </w:p>
    <w:p w14:paraId="773C41D9" w14:textId="31529520" w:rsidR="00771A4F" w:rsidRPr="003F4067" w:rsidDel="00F93CFE" w:rsidRDefault="000568B2" w:rsidP="003F4067">
      <w:pPr>
        <w:pStyle w:val="ListParagraph"/>
        <w:numPr>
          <w:ilvl w:val="0"/>
          <w:numId w:val="3"/>
        </w:numPr>
        <w:tabs>
          <w:tab w:val="left" w:pos="1921"/>
        </w:tabs>
        <w:spacing w:before="162"/>
        <w:ind w:hanging="361"/>
      </w:pPr>
      <w:r w:rsidRPr="6B28B114">
        <w:rPr>
          <w:b/>
          <w:bCs/>
        </w:rPr>
        <w:t>Meetings:</w:t>
      </w:r>
      <w:r w:rsidRPr="6B28B114">
        <w:rPr>
          <w:b/>
          <w:bCs/>
          <w:spacing w:val="-6"/>
        </w:rPr>
        <w:t xml:space="preserve"> </w:t>
      </w:r>
      <w:r>
        <w:t>Four</w:t>
      </w:r>
      <w:r>
        <w:rPr>
          <w:spacing w:val="-2"/>
        </w:rPr>
        <w:t xml:space="preserve"> </w:t>
      </w:r>
      <w:r>
        <w:t>meetings</w:t>
      </w:r>
      <w:r>
        <w:rPr>
          <w:spacing w:val="-3"/>
        </w:rPr>
        <w:t xml:space="preserve"> </w:t>
      </w:r>
      <w:r>
        <w:t>were</w:t>
      </w:r>
      <w:r>
        <w:rPr>
          <w:spacing w:val="-2"/>
        </w:rPr>
        <w:t xml:space="preserve"> </w:t>
      </w:r>
      <w:r>
        <w:t>held</w:t>
      </w:r>
      <w:r>
        <w:rPr>
          <w:spacing w:val="-4"/>
        </w:rPr>
        <w:t xml:space="preserve"> </w:t>
      </w:r>
      <w:r>
        <w:t>as</w:t>
      </w:r>
      <w:r>
        <w:rPr>
          <w:spacing w:val="-3"/>
        </w:rPr>
        <w:t xml:space="preserve"> </w:t>
      </w:r>
      <w:r>
        <w:t>part</w:t>
      </w:r>
      <w:r>
        <w:rPr>
          <w:spacing w:val="-5"/>
        </w:rPr>
        <w:t xml:space="preserve"> </w:t>
      </w:r>
      <w:r>
        <w:t>of</w:t>
      </w:r>
      <w:r>
        <w:rPr>
          <w:spacing w:val="-5"/>
        </w:rPr>
        <w:t xml:space="preserve"> </w:t>
      </w:r>
      <w:r>
        <w:t>the</w:t>
      </w:r>
      <w:r>
        <w:rPr>
          <w:spacing w:val="-5"/>
        </w:rPr>
        <w:t xml:space="preserve"> </w:t>
      </w:r>
      <w:r w:rsidR="00BA54C1">
        <w:t>2021</w:t>
      </w:r>
      <w:r>
        <w:t>/202</w:t>
      </w:r>
      <w:r w:rsidR="00BA54C1">
        <w:t>2</w:t>
      </w:r>
      <w:r>
        <w:rPr>
          <w:spacing w:val="-4"/>
        </w:rPr>
        <w:t xml:space="preserve"> </w:t>
      </w:r>
      <w:r>
        <w:t>meeting</w:t>
      </w:r>
      <w:r>
        <w:rPr>
          <w:spacing w:val="-4"/>
        </w:rPr>
        <w:t xml:space="preserve"> </w:t>
      </w:r>
      <w:r>
        <w:t>structure</w:t>
      </w:r>
      <w:r w:rsidR="169CC50E">
        <w:t>.</w:t>
      </w:r>
    </w:p>
    <w:p w14:paraId="773C41DA" w14:textId="77777777" w:rsidR="00771A4F" w:rsidRDefault="000568B2">
      <w:pPr>
        <w:pStyle w:val="ListParagraph"/>
        <w:numPr>
          <w:ilvl w:val="0"/>
          <w:numId w:val="3"/>
        </w:numPr>
        <w:tabs>
          <w:tab w:val="left" w:pos="1909"/>
        </w:tabs>
        <w:spacing w:before="247"/>
        <w:ind w:right="1194"/>
        <w:jc w:val="both"/>
      </w:pPr>
      <w:r>
        <w:rPr>
          <w:b/>
        </w:rPr>
        <w:t>Performance Monitoring:</w:t>
      </w:r>
      <w:r>
        <w:rPr>
          <w:b/>
          <w:spacing w:val="80"/>
        </w:rPr>
        <w:t xml:space="preserve"> </w:t>
      </w:r>
      <w:r>
        <w:t>The Board has reviewed and continuously improved the</w:t>
      </w:r>
      <w:r>
        <w:rPr>
          <w:spacing w:val="40"/>
        </w:rPr>
        <w:t xml:space="preserve"> </w:t>
      </w:r>
      <w:r>
        <w:t>Quarterly Return used by Schemes to provide consistent, accurate and meaningful data. Work has been undertaken to ensure that each Scheme provider understand the definition for each performance indicator and that submissions are consistent.</w:t>
      </w:r>
      <w:r>
        <w:rPr>
          <w:spacing w:val="40"/>
        </w:rPr>
        <w:t xml:space="preserve"> </w:t>
      </w:r>
      <w:r>
        <w:t>These returns have enabled to Board to track and compare progress on key issues including:</w:t>
      </w:r>
    </w:p>
    <w:p w14:paraId="773C41DB" w14:textId="77777777" w:rsidR="00771A4F" w:rsidRDefault="000568B2">
      <w:pPr>
        <w:pStyle w:val="ListParagraph"/>
        <w:numPr>
          <w:ilvl w:val="0"/>
          <w:numId w:val="2"/>
        </w:numPr>
        <w:tabs>
          <w:tab w:val="left" w:pos="2640"/>
          <w:tab w:val="left" w:pos="2641"/>
        </w:tabs>
        <w:spacing w:before="160"/>
        <w:ind w:hanging="467"/>
        <w:jc w:val="left"/>
      </w:pPr>
      <w:r>
        <w:t>Breaches</w:t>
      </w:r>
      <w:r>
        <w:rPr>
          <w:spacing w:val="-3"/>
        </w:rPr>
        <w:t xml:space="preserve"> </w:t>
      </w:r>
      <w:r>
        <w:t>of</w:t>
      </w:r>
      <w:r>
        <w:rPr>
          <w:spacing w:val="1"/>
        </w:rPr>
        <w:t xml:space="preserve"> </w:t>
      </w:r>
      <w:r>
        <w:rPr>
          <w:spacing w:val="-5"/>
        </w:rPr>
        <w:t>law</w:t>
      </w:r>
    </w:p>
    <w:p w14:paraId="773C41DC" w14:textId="77777777" w:rsidR="00771A4F" w:rsidRDefault="000568B2">
      <w:pPr>
        <w:pStyle w:val="ListParagraph"/>
        <w:numPr>
          <w:ilvl w:val="0"/>
          <w:numId w:val="2"/>
        </w:numPr>
        <w:tabs>
          <w:tab w:val="left" w:pos="2640"/>
          <w:tab w:val="left" w:pos="2641"/>
        </w:tabs>
        <w:spacing w:before="161"/>
        <w:ind w:hanging="517"/>
        <w:jc w:val="left"/>
      </w:pPr>
      <w:r>
        <w:rPr>
          <w:spacing w:val="-2"/>
        </w:rPr>
        <w:t>Complaints</w:t>
      </w:r>
    </w:p>
    <w:p w14:paraId="773C41DD" w14:textId="77777777" w:rsidR="00771A4F" w:rsidRDefault="000568B2">
      <w:pPr>
        <w:pStyle w:val="ListParagraph"/>
        <w:numPr>
          <w:ilvl w:val="0"/>
          <w:numId w:val="2"/>
        </w:numPr>
        <w:tabs>
          <w:tab w:val="left" w:pos="2640"/>
          <w:tab w:val="left" w:pos="2641"/>
        </w:tabs>
        <w:spacing w:before="158"/>
        <w:ind w:hanging="567"/>
        <w:jc w:val="left"/>
      </w:pPr>
      <w:r>
        <w:t>Auto-</w:t>
      </w:r>
      <w:r>
        <w:rPr>
          <w:spacing w:val="-1"/>
        </w:rPr>
        <w:t xml:space="preserve"> </w:t>
      </w:r>
      <w:r>
        <w:rPr>
          <w:spacing w:val="-2"/>
        </w:rPr>
        <w:t>enrolment</w:t>
      </w:r>
    </w:p>
    <w:p w14:paraId="773C41DE" w14:textId="77777777" w:rsidR="00771A4F" w:rsidRDefault="000568B2">
      <w:pPr>
        <w:pStyle w:val="ListParagraph"/>
        <w:numPr>
          <w:ilvl w:val="0"/>
          <w:numId w:val="2"/>
        </w:numPr>
        <w:tabs>
          <w:tab w:val="left" w:pos="2640"/>
          <w:tab w:val="left" w:pos="2641"/>
        </w:tabs>
        <w:spacing w:before="162"/>
        <w:ind w:hanging="567"/>
        <w:jc w:val="left"/>
      </w:pPr>
      <w:r>
        <w:t xml:space="preserve">Data </w:t>
      </w:r>
      <w:r>
        <w:rPr>
          <w:spacing w:val="-2"/>
        </w:rPr>
        <w:t>accuracy</w:t>
      </w:r>
    </w:p>
    <w:p w14:paraId="773C41DF" w14:textId="75042842" w:rsidR="00771A4F" w:rsidRPr="00067E14" w:rsidRDefault="000568B2">
      <w:pPr>
        <w:pStyle w:val="ListParagraph"/>
        <w:numPr>
          <w:ilvl w:val="0"/>
          <w:numId w:val="2"/>
        </w:numPr>
        <w:tabs>
          <w:tab w:val="left" w:pos="2640"/>
          <w:tab w:val="left" w:pos="2641"/>
        </w:tabs>
        <w:ind w:hanging="517"/>
        <w:jc w:val="left"/>
      </w:pPr>
      <w:r>
        <w:t>Dispute</w:t>
      </w:r>
      <w:r>
        <w:rPr>
          <w:spacing w:val="-4"/>
        </w:rPr>
        <w:t xml:space="preserve"> </w:t>
      </w:r>
      <w:r>
        <w:t>resolution</w:t>
      </w:r>
      <w:r>
        <w:rPr>
          <w:spacing w:val="-3"/>
        </w:rPr>
        <w:t xml:space="preserve"> </w:t>
      </w:r>
      <w:r>
        <w:rPr>
          <w:spacing w:val="-2"/>
        </w:rPr>
        <w:t>processes</w:t>
      </w:r>
    </w:p>
    <w:p w14:paraId="3B896450" w14:textId="61888950" w:rsidR="00067E14" w:rsidRPr="00BA54C1" w:rsidRDefault="00F94561">
      <w:pPr>
        <w:pStyle w:val="ListParagraph"/>
        <w:numPr>
          <w:ilvl w:val="0"/>
          <w:numId w:val="2"/>
        </w:numPr>
        <w:tabs>
          <w:tab w:val="left" w:pos="2640"/>
          <w:tab w:val="left" w:pos="2641"/>
        </w:tabs>
        <w:ind w:hanging="517"/>
        <w:jc w:val="left"/>
      </w:pPr>
      <w:r>
        <w:rPr>
          <w:spacing w:val="-2"/>
        </w:rPr>
        <w:t>Risk Management</w:t>
      </w:r>
    </w:p>
    <w:p w14:paraId="4E089FB9" w14:textId="60EFFAF1" w:rsidR="00BA54C1" w:rsidRDefault="00BA54C1">
      <w:pPr>
        <w:pStyle w:val="ListParagraph"/>
        <w:numPr>
          <w:ilvl w:val="0"/>
          <w:numId w:val="2"/>
        </w:numPr>
        <w:tabs>
          <w:tab w:val="left" w:pos="2640"/>
          <w:tab w:val="left" w:pos="2641"/>
        </w:tabs>
        <w:ind w:hanging="517"/>
        <w:jc w:val="left"/>
      </w:pPr>
      <w:r>
        <w:t>Compliance with Guaranteed Minimum Pension arrangements</w:t>
      </w:r>
    </w:p>
    <w:p w14:paraId="773C41E1" w14:textId="7F3AF706" w:rsidR="007A3B1B" w:rsidRDefault="007A3B1B" w:rsidP="6B28B114">
      <w:pPr>
        <w:pStyle w:val="ListParagraph"/>
        <w:tabs>
          <w:tab w:val="left" w:pos="2640"/>
          <w:tab w:val="left" w:pos="2641"/>
        </w:tabs>
        <w:spacing w:before="161"/>
        <w:ind w:left="2640" w:firstLine="0"/>
        <w:sectPr w:rsidR="007A3B1B">
          <w:pgSz w:w="11910" w:h="16840"/>
          <w:pgMar w:top="980" w:right="240" w:bottom="1280" w:left="240" w:header="763" w:footer="1084" w:gutter="0"/>
          <w:cols w:space="720"/>
        </w:sectPr>
      </w:pPr>
    </w:p>
    <w:p w14:paraId="773C41E4" w14:textId="1BE81BF1" w:rsidR="00771A4F" w:rsidRDefault="00771A4F" w:rsidP="6B28B114">
      <w:pPr>
        <w:pStyle w:val="BodyText"/>
        <w:rPr>
          <w:sz w:val="20"/>
          <w:szCs w:val="20"/>
        </w:rPr>
      </w:pPr>
    </w:p>
    <w:p w14:paraId="773C41E5" w14:textId="77777777" w:rsidR="00771A4F" w:rsidRDefault="00771A4F">
      <w:pPr>
        <w:pStyle w:val="BodyText"/>
        <w:spacing w:before="1"/>
        <w:rPr>
          <w:sz w:val="19"/>
        </w:rPr>
      </w:pPr>
    </w:p>
    <w:p w14:paraId="773C41E6" w14:textId="084E7D29" w:rsidR="00771A4F" w:rsidRDefault="000568B2">
      <w:pPr>
        <w:pStyle w:val="ListParagraph"/>
        <w:numPr>
          <w:ilvl w:val="0"/>
          <w:numId w:val="3"/>
        </w:numPr>
        <w:tabs>
          <w:tab w:val="left" w:pos="1921"/>
        </w:tabs>
        <w:spacing w:before="56"/>
        <w:ind w:right="1192"/>
        <w:jc w:val="both"/>
      </w:pPr>
      <w:r w:rsidRPr="6B28B114">
        <w:rPr>
          <w:b/>
          <w:bCs/>
        </w:rPr>
        <w:t>Stakeholder Engagement and Relationship Development:</w:t>
      </w:r>
      <w:r w:rsidRPr="6B28B114">
        <w:rPr>
          <w:b/>
          <w:bCs/>
          <w:spacing w:val="80"/>
        </w:rPr>
        <w:t xml:space="preserve"> </w:t>
      </w:r>
      <w:r>
        <w:t xml:space="preserve">The Board has continued to actively engage with </w:t>
      </w:r>
      <w:r w:rsidR="00E87E10">
        <w:t>several</w:t>
      </w:r>
      <w:r>
        <w:t xml:space="preserve"> its key stakeholders including the Pension Regulator and Scheme Advisory Board (SAB), Chief Constables/Scheme Managers a</w:t>
      </w:r>
      <w:r w:rsidR="00BA54C1">
        <w:t>nd</w:t>
      </w:r>
      <w:r>
        <w:t xml:space="preserve"> </w:t>
      </w:r>
      <w:r w:rsidR="00BA54C1">
        <w:t>sc</w:t>
      </w:r>
      <w:r>
        <w:t>heme administrators (XPS</w:t>
      </w:r>
      <w:r w:rsidR="00BA54C1">
        <w:t xml:space="preserve"> and </w:t>
      </w:r>
      <w:r w:rsidR="1A1917A8">
        <w:t>LPPA)</w:t>
      </w:r>
      <w:r>
        <w:t>, to ensure the Board meet its requirements</w:t>
      </w:r>
      <w:r w:rsidR="00BA54C1">
        <w:t>.</w:t>
      </w:r>
    </w:p>
    <w:p w14:paraId="773C41E7" w14:textId="0708BF2F" w:rsidR="00771A4F" w:rsidRDefault="000568B2">
      <w:pPr>
        <w:pStyle w:val="ListParagraph"/>
        <w:numPr>
          <w:ilvl w:val="0"/>
          <w:numId w:val="3"/>
        </w:numPr>
        <w:tabs>
          <w:tab w:val="left" w:pos="1921"/>
        </w:tabs>
        <w:spacing w:before="160"/>
        <w:ind w:right="1190"/>
        <w:jc w:val="both"/>
      </w:pPr>
      <w:r w:rsidRPr="6B28B114">
        <w:rPr>
          <w:b/>
          <w:bCs/>
        </w:rPr>
        <w:t>Training for Members:</w:t>
      </w:r>
      <w:r w:rsidRPr="6B28B114">
        <w:rPr>
          <w:b/>
          <w:bCs/>
          <w:spacing w:val="40"/>
        </w:rPr>
        <w:t xml:space="preserve"> </w:t>
      </w:r>
      <w:r>
        <w:t>The Board dedicate</w:t>
      </w:r>
      <w:r w:rsidR="00BA54C1">
        <w:t xml:space="preserve">s one of its meetings for a </w:t>
      </w:r>
      <w:r w:rsidR="003C15FB">
        <w:t xml:space="preserve">Board development day and this provides a useful opportunity for </w:t>
      </w:r>
      <w:r>
        <w:t xml:space="preserve">training </w:t>
      </w:r>
      <w:r w:rsidR="003C15FB">
        <w:t xml:space="preserve">to be </w:t>
      </w:r>
      <w:r>
        <w:t xml:space="preserve">arranged </w:t>
      </w:r>
      <w:r w:rsidR="003C15FB">
        <w:t xml:space="preserve">and for subject matter experts such as the Pensions Regulator </w:t>
      </w:r>
      <w:r w:rsidR="002A370F">
        <w:t xml:space="preserve">to attend. This </w:t>
      </w:r>
      <w:r w:rsidR="005C6BB1">
        <w:t>provides the ability for Board Members to gain better insight</w:t>
      </w:r>
      <w:r w:rsidR="00203070">
        <w:t xml:space="preserve"> and understanding of issues </w:t>
      </w:r>
      <w:r w:rsidR="00F80411">
        <w:t>relating to public</w:t>
      </w:r>
      <w:r w:rsidR="003C15FB">
        <w:t xml:space="preserve"> sector </w:t>
      </w:r>
      <w:r w:rsidR="009155AA">
        <w:t>pensions and to enable them to carry out their</w:t>
      </w:r>
      <w:r w:rsidR="00AD0EE3">
        <w:t xml:space="preserve"> roles effectively.</w:t>
      </w:r>
    </w:p>
    <w:p w14:paraId="773C41EC" w14:textId="19A36942" w:rsidR="00771A4F" w:rsidRPr="005952C7" w:rsidDel="008A7B3F" w:rsidRDefault="000568B2" w:rsidP="005952C7">
      <w:pPr>
        <w:ind w:left="1276" w:right="1224"/>
        <w:jc w:val="both"/>
      </w:pPr>
      <w:r w:rsidRPr="002720D9">
        <w:t>National Challenges:</w:t>
      </w:r>
      <w:r w:rsidR="008744DB" w:rsidRPr="005952C7">
        <w:t xml:space="preserve"> </w:t>
      </w:r>
      <w:r w:rsidR="003605EC" w:rsidRPr="005952C7">
        <w:t>As previously mentioned The Board</w:t>
      </w:r>
      <w:r w:rsidR="00BB061E" w:rsidRPr="005952C7">
        <w:t xml:space="preserve"> </w:t>
      </w:r>
      <w:r w:rsidR="005A790D" w:rsidRPr="005952C7">
        <w:t>has actively sought to engage on the McCLoud</w:t>
      </w:r>
      <w:r w:rsidR="000A37FA" w:rsidRPr="005952C7">
        <w:t xml:space="preserve"> judgement and preparations for remedy. The Board sees this as one of the key challeng</w:t>
      </w:r>
      <w:r w:rsidR="003C15FB" w:rsidRPr="005952C7">
        <w:t>es facing p</w:t>
      </w:r>
      <w:r w:rsidR="00C21AE0" w:rsidRPr="005952C7">
        <w:t>olice pensions</w:t>
      </w:r>
      <w:r w:rsidR="00632A4D" w:rsidRPr="005952C7">
        <w:t xml:space="preserve"> and </w:t>
      </w:r>
      <w:r w:rsidR="003C15FB" w:rsidRPr="005952C7">
        <w:t xml:space="preserve">scheme managers and scheme </w:t>
      </w:r>
      <w:r w:rsidR="005952C7" w:rsidRPr="005952C7">
        <w:t>members. The</w:t>
      </w:r>
      <w:r w:rsidR="003C15FB" w:rsidRPr="005952C7">
        <w:t xml:space="preserve"> Board </w:t>
      </w:r>
      <w:r w:rsidR="00632A4D" w:rsidRPr="005952C7">
        <w:t xml:space="preserve">will </w:t>
      </w:r>
      <w:r w:rsidR="0071009C" w:rsidRPr="005952C7">
        <w:t xml:space="preserve">continue </w:t>
      </w:r>
      <w:r w:rsidR="003C15FB" w:rsidRPr="005952C7">
        <w:t>to gain assurance from scheme managers</w:t>
      </w:r>
      <w:r w:rsidR="0071009C" w:rsidRPr="005952C7">
        <w:t xml:space="preserve"> that the necessary arrangements to deliver the remedy</w:t>
      </w:r>
      <w:r w:rsidR="008A7B3F" w:rsidRPr="005952C7">
        <w:t xml:space="preserve"> are in place by the scheme managers.</w:t>
      </w:r>
    </w:p>
    <w:p w14:paraId="773C41EF" w14:textId="366BCD96" w:rsidR="00771A4F" w:rsidDel="003C15FB" w:rsidRDefault="000568B2" w:rsidP="005952C7">
      <w:pPr>
        <w:pStyle w:val="ListParagraph"/>
        <w:numPr>
          <w:ilvl w:val="0"/>
          <w:numId w:val="3"/>
        </w:numPr>
        <w:tabs>
          <w:tab w:val="left" w:pos="1921"/>
        </w:tabs>
        <w:spacing w:before="160"/>
        <w:ind w:right="1196"/>
        <w:jc w:val="both"/>
      </w:pPr>
      <w:r w:rsidRPr="6B28B114">
        <w:rPr>
          <w:b/>
          <w:bCs/>
        </w:rPr>
        <w:t>Annual Returns:</w:t>
      </w:r>
      <w:r w:rsidRPr="6B28B114">
        <w:rPr>
          <w:b/>
          <w:bCs/>
          <w:spacing w:val="80"/>
        </w:rPr>
        <w:t xml:space="preserve"> </w:t>
      </w:r>
      <w:r>
        <w:t>The Board worked together to provide consistent responses to The</w:t>
      </w:r>
      <w:r w:rsidRPr="003C15FB">
        <w:rPr>
          <w:spacing w:val="40"/>
        </w:rPr>
        <w:t xml:space="preserve"> </w:t>
      </w:r>
      <w:r>
        <w:t xml:space="preserve">Pension Regulator </w:t>
      </w:r>
      <w:r w:rsidR="1B0D77F8">
        <w:t>Survey and</w:t>
      </w:r>
      <w:r w:rsidR="003C15FB">
        <w:t xml:space="preserve"> ensuring that a consistent application across the 5 forces was achieved. </w:t>
      </w:r>
    </w:p>
    <w:p w14:paraId="78BF658F" w14:textId="77777777" w:rsidR="003C15FB" w:rsidRPr="003C15FB" w:rsidRDefault="003C15FB" w:rsidP="6B28B114">
      <w:pPr>
        <w:tabs>
          <w:tab w:val="left" w:pos="1921"/>
        </w:tabs>
        <w:spacing w:before="160"/>
        <w:ind w:right="1196"/>
        <w:rPr>
          <w:sz w:val="26"/>
          <w:szCs w:val="26"/>
        </w:rPr>
      </w:pPr>
    </w:p>
    <w:p w14:paraId="2B2838FE" w14:textId="3D728324" w:rsidR="00993EDF" w:rsidDel="003C15FB" w:rsidRDefault="003C15FB" w:rsidP="00F36343">
      <w:pPr>
        <w:pStyle w:val="BodyText"/>
        <w:ind w:left="1276" w:right="1224"/>
        <w:jc w:val="both"/>
      </w:pPr>
      <w:r>
        <w:rPr>
          <w:spacing w:val="-10"/>
        </w:rPr>
        <w:t xml:space="preserve">Priorities for the future </w:t>
      </w:r>
      <w:r w:rsidR="00DB6987">
        <w:rPr>
          <w:spacing w:val="-10"/>
        </w:rPr>
        <w:t>on</w:t>
      </w:r>
      <w:r w:rsidR="005E1810">
        <w:rPr>
          <w:spacing w:val="-10"/>
        </w:rPr>
        <w:t xml:space="preserve"> behalf of the Scheme Managers, the NWPPB will continue</w:t>
      </w:r>
      <w:r w:rsidR="00F40AE2">
        <w:t xml:space="preserve"> to monitor</w:t>
      </w:r>
      <w:r w:rsidR="00F40AE2" w:rsidDel="003C15FB">
        <w:rPr>
          <w:spacing w:val="-10"/>
        </w:rPr>
        <w:t xml:space="preserve"> the</w:t>
      </w:r>
      <w:r w:rsidR="00EA3277" w:rsidDel="003C15FB">
        <w:rPr>
          <w:spacing w:val="-10"/>
        </w:rPr>
        <w:t xml:space="preserve"> administration </w:t>
      </w:r>
      <w:r w:rsidR="00854481">
        <w:rPr>
          <w:spacing w:val="-10"/>
        </w:rPr>
        <w:t>schemes and ensure</w:t>
      </w:r>
      <w:r w:rsidR="00A66ADA" w:rsidDel="003C15FB">
        <w:rPr>
          <w:spacing w:val="-10"/>
        </w:rPr>
        <w:t xml:space="preserve"> that the pension</w:t>
      </w:r>
      <w:r w:rsidR="00AE6F36">
        <w:rPr>
          <w:spacing w:val="-10"/>
        </w:rPr>
        <w:t xml:space="preserve"> issues </w:t>
      </w:r>
      <w:r>
        <w:rPr>
          <w:spacing w:val="-10"/>
        </w:rPr>
        <w:t>a</w:t>
      </w:r>
      <w:r w:rsidR="00044522">
        <w:rPr>
          <w:spacing w:val="-10"/>
        </w:rPr>
        <w:t>ffecting members are effectively managed. The implementation of the Pension remedy arising</w:t>
      </w:r>
      <w:r w:rsidR="00ED226D">
        <w:t xml:space="preserve"> </w:t>
      </w:r>
      <w:r w:rsidR="5FE241FA">
        <w:t>from</w:t>
      </w:r>
      <w:r w:rsidR="00ED226D">
        <w:t xml:space="preserve"> the McCLoud</w:t>
      </w:r>
      <w:r w:rsidR="00ED226D">
        <w:rPr>
          <w:spacing w:val="-10"/>
        </w:rPr>
        <w:t xml:space="preserve"> judgement is both complex</w:t>
      </w:r>
      <w:r w:rsidR="000072C8">
        <w:t>, costly and time consuming. The Board will seek</w:t>
      </w:r>
      <w:r w:rsidR="000072C8">
        <w:rPr>
          <w:spacing w:val="-10"/>
        </w:rPr>
        <w:t xml:space="preserve"> to ensure that scheme managers</w:t>
      </w:r>
      <w:r w:rsidR="009335B1">
        <w:rPr>
          <w:spacing w:val="-10"/>
        </w:rPr>
        <w:t xml:space="preserve"> and </w:t>
      </w:r>
      <w:r w:rsidR="001440D3">
        <w:rPr>
          <w:spacing w:val="-10"/>
        </w:rPr>
        <w:t>administrators</w:t>
      </w:r>
      <w:r w:rsidR="00220F0D">
        <w:rPr>
          <w:spacing w:val="-10"/>
        </w:rPr>
        <w:t xml:space="preserve"> are taking the </w:t>
      </w:r>
      <w:r w:rsidR="00DB2CA8" w:rsidDel="003C15FB">
        <w:rPr>
          <w:spacing w:val="-10"/>
        </w:rPr>
        <w:t>necessary arrangements to ensure that the remedy is implemented</w:t>
      </w:r>
      <w:r w:rsidR="00693E15">
        <w:t xml:space="preserve"> in a timely and accurate way</w:t>
      </w:r>
      <w:r w:rsidR="00B4344F">
        <w:t>. The Board</w:t>
      </w:r>
      <w:r>
        <w:t>’</w:t>
      </w:r>
      <w:r w:rsidR="00B4344F">
        <w:t>s overall intention will be to ensure</w:t>
      </w:r>
      <w:r w:rsidR="00162C49">
        <w:t xml:space="preserve"> that scheme members across the 5 schemes continue to re</w:t>
      </w:r>
      <w:r>
        <w:t xml:space="preserve">ceive </w:t>
      </w:r>
      <w:r w:rsidR="00162C49">
        <w:t>a good service</w:t>
      </w:r>
      <w:r w:rsidR="00262463">
        <w:t>.</w:t>
      </w:r>
    </w:p>
    <w:p w14:paraId="773C41F7" w14:textId="18478318" w:rsidR="00771A4F" w:rsidDel="00262463" w:rsidRDefault="00771A4F" w:rsidP="6B28B114">
      <w:pPr>
        <w:tabs>
          <w:tab w:val="left" w:pos="2326"/>
        </w:tabs>
        <w:ind w:left="1606"/>
        <w:sectPr w:rsidR="00771A4F" w:rsidDel="00262463">
          <w:pgSz w:w="11910" w:h="16840"/>
          <w:pgMar w:top="980" w:right="240" w:bottom="1280" w:left="240" w:header="763" w:footer="1084" w:gutter="0"/>
          <w:cols w:space="720"/>
        </w:sectPr>
      </w:pPr>
    </w:p>
    <w:p w14:paraId="773C41F8" w14:textId="77777777" w:rsidR="00771A4F" w:rsidRDefault="00771A4F">
      <w:pPr>
        <w:pStyle w:val="BodyText"/>
        <w:rPr>
          <w:sz w:val="20"/>
        </w:rPr>
      </w:pPr>
    </w:p>
    <w:p w14:paraId="773C41F9" w14:textId="77777777" w:rsidR="00771A4F" w:rsidRDefault="00771A4F">
      <w:pPr>
        <w:pStyle w:val="BodyText"/>
        <w:spacing w:before="11"/>
        <w:rPr>
          <w:sz w:val="23"/>
        </w:rPr>
      </w:pPr>
    </w:p>
    <w:p w14:paraId="773C4200" w14:textId="161BAFF8" w:rsidR="00771A4F" w:rsidRDefault="00771A4F" w:rsidP="6B28B114">
      <w:pPr>
        <w:tabs>
          <w:tab w:val="left" w:pos="2326"/>
        </w:tabs>
        <w:spacing w:before="56"/>
        <w:ind w:left="1606" w:right="2282"/>
        <w:jc w:val="both"/>
      </w:pPr>
    </w:p>
    <w:p w14:paraId="773C4201" w14:textId="77777777" w:rsidR="00771A4F" w:rsidRDefault="00771A4F">
      <w:pPr>
        <w:pStyle w:val="BodyText"/>
      </w:pPr>
    </w:p>
    <w:p w14:paraId="773C4202" w14:textId="77777777" w:rsidR="00771A4F" w:rsidRDefault="00771A4F">
      <w:pPr>
        <w:pStyle w:val="BodyText"/>
        <w:spacing w:before="3"/>
        <w:rPr>
          <w:sz w:val="18"/>
        </w:rPr>
      </w:pPr>
    </w:p>
    <w:p w14:paraId="773C4203" w14:textId="77777777" w:rsidR="00771A4F" w:rsidRDefault="000568B2">
      <w:pPr>
        <w:ind w:left="1200"/>
        <w:jc w:val="both"/>
        <w:rPr>
          <w:b/>
          <w:sz w:val="36"/>
        </w:rPr>
      </w:pPr>
      <w:r>
        <w:rPr>
          <w:b/>
          <w:sz w:val="36"/>
        </w:rPr>
        <w:t>Summary</w:t>
      </w:r>
      <w:r>
        <w:rPr>
          <w:b/>
          <w:spacing w:val="-3"/>
          <w:sz w:val="36"/>
        </w:rPr>
        <w:t xml:space="preserve"> </w:t>
      </w:r>
      <w:r>
        <w:rPr>
          <w:b/>
          <w:sz w:val="36"/>
        </w:rPr>
        <w:t>and</w:t>
      </w:r>
      <w:r>
        <w:rPr>
          <w:b/>
          <w:spacing w:val="-1"/>
          <w:sz w:val="36"/>
        </w:rPr>
        <w:t xml:space="preserve"> </w:t>
      </w:r>
      <w:r>
        <w:rPr>
          <w:b/>
          <w:spacing w:val="-2"/>
          <w:sz w:val="36"/>
        </w:rPr>
        <w:t>Conclusions:</w:t>
      </w:r>
    </w:p>
    <w:p w14:paraId="773C4204" w14:textId="04FBE903" w:rsidR="00771A4F" w:rsidRDefault="000568B2" w:rsidP="00C45CB7">
      <w:pPr>
        <w:pStyle w:val="BodyText"/>
        <w:spacing w:before="160"/>
        <w:ind w:left="1200" w:right="1193"/>
        <w:jc w:val="both"/>
      </w:pPr>
      <w:r>
        <w:t xml:space="preserve">During </w:t>
      </w:r>
      <w:r w:rsidR="00262463">
        <w:t>2021/2022</w:t>
      </w:r>
      <w:r>
        <w:t xml:space="preserve"> the NWPPB has maintained an effective role in overseeing </w:t>
      </w:r>
      <w:r w:rsidR="758A98D7">
        <w:t>Northwest</w:t>
      </w:r>
      <w:r>
        <w:t xml:space="preserve"> Police pension administration and has provided robust challenge and governance.</w:t>
      </w:r>
      <w:r>
        <w:rPr>
          <w:spacing w:val="40"/>
        </w:rPr>
        <w:t xml:space="preserve"> </w:t>
      </w:r>
      <w:r>
        <w:t>The NWPPB will continue to develop systems and processes to ensure compliance with legislative and regulatory requirements across all schemes.</w:t>
      </w:r>
      <w:r>
        <w:rPr>
          <w:spacing w:val="80"/>
        </w:rPr>
        <w:t xml:space="preserve"> </w:t>
      </w:r>
      <w:r>
        <w:t>The Board will seek to identify and manage emerging risks, share good</w:t>
      </w:r>
      <w:r>
        <w:rPr>
          <w:spacing w:val="-2"/>
        </w:rPr>
        <w:t xml:space="preserve"> </w:t>
      </w:r>
      <w:r>
        <w:t>practice and</w:t>
      </w:r>
      <w:r>
        <w:rPr>
          <w:spacing w:val="-2"/>
        </w:rPr>
        <w:t xml:space="preserve"> </w:t>
      </w:r>
      <w:r>
        <w:t>highlighting</w:t>
      </w:r>
      <w:r>
        <w:rPr>
          <w:spacing w:val="-2"/>
        </w:rPr>
        <w:t xml:space="preserve"> </w:t>
      </w:r>
      <w:r>
        <w:t>areas</w:t>
      </w:r>
      <w:r>
        <w:rPr>
          <w:spacing w:val="-1"/>
        </w:rPr>
        <w:t xml:space="preserve"> </w:t>
      </w:r>
      <w:r>
        <w:t>for</w:t>
      </w:r>
      <w:r>
        <w:rPr>
          <w:spacing w:val="-1"/>
        </w:rPr>
        <w:t xml:space="preserve"> </w:t>
      </w:r>
      <w:r>
        <w:t>development</w:t>
      </w:r>
      <w:r>
        <w:rPr>
          <w:spacing w:val="-2"/>
        </w:rPr>
        <w:t xml:space="preserve"> </w:t>
      </w:r>
      <w:r>
        <w:t>on</w:t>
      </w:r>
      <w:r>
        <w:rPr>
          <w:spacing w:val="-2"/>
        </w:rPr>
        <w:t xml:space="preserve"> </w:t>
      </w:r>
      <w:r>
        <w:t>behalf</w:t>
      </w:r>
      <w:r>
        <w:rPr>
          <w:spacing w:val="-1"/>
        </w:rPr>
        <w:t xml:space="preserve"> </w:t>
      </w:r>
      <w:r>
        <w:t>of</w:t>
      </w:r>
      <w:r>
        <w:rPr>
          <w:spacing w:val="-1"/>
        </w:rPr>
        <w:t xml:space="preserve"> </w:t>
      </w:r>
      <w:r>
        <w:t>Scheme</w:t>
      </w:r>
      <w:r>
        <w:rPr>
          <w:spacing w:val="-3"/>
        </w:rPr>
        <w:t xml:space="preserve"> </w:t>
      </w:r>
      <w:r>
        <w:t>Managers</w:t>
      </w:r>
      <w:r>
        <w:rPr>
          <w:spacing w:val="-1"/>
        </w:rPr>
        <w:t xml:space="preserve"> </w:t>
      </w:r>
      <w:r>
        <w:t>to ensure good governance and administration for police pension beneficiaries.</w:t>
      </w:r>
    </w:p>
    <w:p w14:paraId="773C4205" w14:textId="66A60CB8" w:rsidR="00771A4F" w:rsidRDefault="000568B2" w:rsidP="005952C7">
      <w:pPr>
        <w:pStyle w:val="BodyText"/>
        <w:spacing w:before="160"/>
        <w:ind w:left="1200" w:right="1193"/>
        <w:jc w:val="both"/>
      </w:pPr>
      <w:r>
        <w:t xml:space="preserve">I would like to thank all members of and contributors to the NWPPB, together with scheme managers, </w:t>
      </w:r>
      <w:r w:rsidR="00E87E10">
        <w:t>administrators,</w:t>
      </w:r>
      <w:r>
        <w:t xml:space="preserve"> and </w:t>
      </w:r>
      <w:r w:rsidR="0036633D">
        <w:t>the various</w:t>
      </w:r>
      <w:r w:rsidR="00D10EBB">
        <w:t xml:space="preserve"> regulatory bodies we have engaged with </w:t>
      </w:r>
      <w:r>
        <w:t>for their commitment and work to improve our schemes’ pension arrangements.</w:t>
      </w:r>
    </w:p>
    <w:p w14:paraId="773C4207" w14:textId="3EB32AFD" w:rsidR="00771A4F" w:rsidRPr="005952C7" w:rsidDel="00D10EBB" w:rsidRDefault="000568B2" w:rsidP="6B28B114">
      <w:pPr>
        <w:pStyle w:val="BodyText"/>
        <w:spacing w:before="159"/>
        <w:ind w:left="1200" w:right="1193"/>
        <w:jc w:val="both"/>
      </w:pPr>
      <w:r>
        <w:t xml:space="preserve">Any queries on the content of this report please contact the Board Administrator via </w:t>
      </w:r>
      <w:r w:rsidR="00D10EBB" w:rsidRPr="005952C7">
        <w:t>Tara.jones@gmp.police.uk</w:t>
      </w:r>
    </w:p>
    <w:p w14:paraId="773C4208" w14:textId="77777777" w:rsidR="00771A4F" w:rsidRDefault="00771A4F">
      <w:pPr>
        <w:pStyle w:val="BodyText"/>
        <w:spacing w:before="10"/>
        <w:rPr>
          <w:sz w:val="23"/>
        </w:rPr>
      </w:pPr>
    </w:p>
    <w:p w14:paraId="773C4209" w14:textId="77777777" w:rsidR="00771A4F" w:rsidRDefault="000568B2">
      <w:pPr>
        <w:pStyle w:val="Heading3"/>
        <w:spacing w:before="56"/>
      </w:pPr>
      <w:r>
        <w:t>Fiona</w:t>
      </w:r>
      <w:r>
        <w:rPr>
          <w:spacing w:val="-5"/>
        </w:rPr>
        <w:t xml:space="preserve"> </w:t>
      </w:r>
      <w:r>
        <w:rPr>
          <w:spacing w:val="-2"/>
        </w:rPr>
        <w:t>Daley</w:t>
      </w:r>
    </w:p>
    <w:p w14:paraId="773C420A" w14:textId="03B5ABA2" w:rsidR="00771A4F" w:rsidRDefault="000568B2">
      <w:pPr>
        <w:pStyle w:val="Heading3"/>
        <w:spacing w:line="384" w:lineRule="auto"/>
        <w:ind w:right="6977"/>
      </w:pPr>
      <w:r>
        <w:t>Independent</w:t>
      </w:r>
      <w:r>
        <w:rPr>
          <w:spacing w:val="-8"/>
        </w:rPr>
        <w:t xml:space="preserve"> </w:t>
      </w:r>
      <w:r>
        <w:t>Chair</w:t>
      </w:r>
      <w:r>
        <w:rPr>
          <w:spacing w:val="-8"/>
        </w:rPr>
        <w:t xml:space="preserve"> </w:t>
      </w:r>
      <w:r>
        <w:t>of</w:t>
      </w:r>
      <w:r>
        <w:rPr>
          <w:spacing w:val="-9"/>
        </w:rPr>
        <w:t xml:space="preserve"> </w:t>
      </w:r>
      <w:r>
        <w:t>the</w:t>
      </w:r>
      <w:r>
        <w:rPr>
          <w:spacing w:val="-11"/>
        </w:rPr>
        <w:t xml:space="preserve"> </w:t>
      </w:r>
      <w:r>
        <w:t xml:space="preserve">Board </w:t>
      </w:r>
      <w:r w:rsidR="0008326C">
        <w:t>September 2022</w:t>
      </w:r>
    </w:p>
    <w:sectPr w:rsidR="00771A4F">
      <w:pgSz w:w="11910" w:h="16840"/>
      <w:pgMar w:top="980" w:right="240" w:bottom="1280" w:left="240" w:header="763" w:footer="10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C92E" w14:textId="77777777" w:rsidR="00D51874" w:rsidRDefault="00D51874">
      <w:r>
        <w:separator/>
      </w:r>
    </w:p>
  </w:endnote>
  <w:endnote w:type="continuationSeparator" w:id="0">
    <w:p w14:paraId="4530B92C" w14:textId="77777777" w:rsidR="00D51874" w:rsidRDefault="00D51874">
      <w:r>
        <w:continuationSeparator/>
      </w:r>
    </w:p>
  </w:endnote>
  <w:endnote w:type="continuationNotice" w:id="1">
    <w:p w14:paraId="25EA290F" w14:textId="77777777" w:rsidR="00D51874" w:rsidRDefault="00D51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4210" w14:textId="2C5D581F" w:rsidR="00771A4F" w:rsidRDefault="00765BB6">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773C4212" wp14:editId="29654037">
              <wp:simplePos x="0" y="0"/>
              <wp:positionH relativeFrom="page">
                <wp:posOffset>896620</wp:posOffset>
              </wp:positionH>
              <wp:positionV relativeFrom="page">
                <wp:posOffset>9876790</wp:posOffset>
              </wp:positionV>
              <wp:extent cx="5769610" cy="635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A6858" id="docshape2" o:spid="_x0000_s1026" style="position:absolute;margin-left:70.6pt;margin-top:777.7pt;width:454.3pt;height:.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251658242" behindDoc="1" locked="0" layoutInCell="1" allowOverlap="1" wp14:anchorId="773C4213" wp14:editId="71816536">
              <wp:simplePos x="0" y="0"/>
              <wp:positionH relativeFrom="page">
                <wp:posOffset>5984240</wp:posOffset>
              </wp:positionH>
              <wp:positionV relativeFrom="page">
                <wp:posOffset>9909810</wp:posOffset>
              </wp:positionV>
              <wp:extent cx="638810" cy="16573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C4215" w14:textId="77777777" w:rsidR="00771A4F" w:rsidRDefault="000568B2">
                          <w:pPr>
                            <w:pStyle w:val="BodyText"/>
                            <w:spacing w:line="245" w:lineRule="exact"/>
                            <w:ind w:left="60"/>
                          </w:pPr>
                          <w:r>
                            <w:fldChar w:fldCharType="begin"/>
                          </w:r>
                          <w:r>
                            <w:instrText xml:space="preserve"> PAGE </w:instrText>
                          </w:r>
                          <w:r>
                            <w:fldChar w:fldCharType="separate"/>
                          </w:r>
                          <w:r>
                            <w:t>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C4213" id="_x0000_t202" coordsize="21600,21600" o:spt="202" path="m,l,21600r21600,l21600,xe">
              <v:stroke joinstyle="miter"/>
              <v:path gradientshapeok="t" o:connecttype="rect"/>
            </v:shapetype>
            <v:shape id="docshape3" o:spid="_x0000_s1027" type="#_x0000_t202" style="position:absolute;margin-left:471.2pt;margin-top:780.3pt;width:50.3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" filled="f" stroked="f">
              <v:textbox inset="0,0,0,0">
                <w:txbxContent>
                  <w:p w14:paraId="773C4215" w14:textId="77777777" w:rsidR="00771A4F" w:rsidRDefault="000568B2">
                    <w:pPr>
                      <w:pStyle w:val="BodyText"/>
                      <w:spacing w:line="245" w:lineRule="exact"/>
                      <w:ind w:left="60"/>
                    </w:pPr>
                    <w:r>
                      <w:fldChar w:fldCharType="begin"/>
                    </w:r>
                    <w:r>
                      <w:instrText xml:space="preserve"> PAGE </w:instrText>
                    </w:r>
                    <w:r>
                      <w:fldChar w:fldCharType="separate"/>
                    </w:r>
                    <w:r>
                      <w:t>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29E7" w14:textId="77777777" w:rsidR="00D51874" w:rsidRDefault="00D51874">
      <w:r>
        <w:separator/>
      </w:r>
    </w:p>
  </w:footnote>
  <w:footnote w:type="continuationSeparator" w:id="0">
    <w:p w14:paraId="051A96AD" w14:textId="77777777" w:rsidR="00D51874" w:rsidRDefault="00D51874">
      <w:r>
        <w:continuationSeparator/>
      </w:r>
    </w:p>
  </w:footnote>
  <w:footnote w:type="continuationNotice" w:id="1">
    <w:p w14:paraId="3F7F5356" w14:textId="77777777" w:rsidR="00D51874" w:rsidRDefault="00D518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420F" w14:textId="2099860C" w:rsidR="00771A4F" w:rsidRDefault="00765BB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73C4211" wp14:editId="14A1DC9F">
              <wp:simplePos x="0" y="0"/>
              <wp:positionH relativeFrom="page">
                <wp:posOffset>1590675</wp:posOffset>
              </wp:positionH>
              <wp:positionV relativeFrom="page">
                <wp:posOffset>471805</wp:posOffset>
              </wp:positionV>
              <wp:extent cx="4378960" cy="16573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9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C4214" w14:textId="23EBB3DF" w:rsidR="00771A4F" w:rsidRDefault="00DB6987">
                          <w:pPr>
                            <w:spacing w:line="245" w:lineRule="exact"/>
                            <w:ind w:left="20"/>
                            <w:rPr>
                              <w:b/>
                            </w:rPr>
                          </w:pPr>
                          <w:r>
                            <w:rPr>
                              <w:b/>
                              <w:color w:val="773AA9"/>
                            </w:rPr>
                            <w:t>North</w:t>
                          </w:r>
                          <w:r>
                            <w:rPr>
                              <w:b/>
                              <w:color w:val="773AA9"/>
                              <w:spacing w:val="-5"/>
                            </w:rPr>
                            <w:t>west</w:t>
                          </w:r>
                          <w:r w:rsidR="000568B2">
                            <w:rPr>
                              <w:b/>
                              <w:color w:val="773AA9"/>
                              <w:spacing w:val="-5"/>
                            </w:rPr>
                            <w:t xml:space="preserve"> </w:t>
                          </w:r>
                          <w:r w:rsidR="000568B2">
                            <w:rPr>
                              <w:b/>
                              <w:color w:val="773AA9"/>
                            </w:rPr>
                            <w:t>Police</w:t>
                          </w:r>
                          <w:r w:rsidR="000568B2">
                            <w:rPr>
                              <w:b/>
                              <w:color w:val="773AA9"/>
                              <w:spacing w:val="-6"/>
                            </w:rPr>
                            <w:t xml:space="preserve"> </w:t>
                          </w:r>
                          <w:r w:rsidR="000568B2">
                            <w:rPr>
                              <w:b/>
                              <w:color w:val="773AA9"/>
                            </w:rPr>
                            <w:t>Pension</w:t>
                          </w:r>
                          <w:r w:rsidR="000568B2">
                            <w:rPr>
                              <w:b/>
                              <w:color w:val="773AA9"/>
                              <w:spacing w:val="-6"/>
                            </w:rPr>
                            <w:t xml:space="preserve"> </w:t>
                          </w:r>
                          <w:r w:rsidR="000568B2">
                            <w:rPr>
                              <w:b/>
                              <w:color w:val="773AA9"/>
                            </w:rPr>
                            <w:t>Board:</w:t>
                          </w:r>
                          <w:r w:rsidR="000568B2">
                            <w:rPr>
                              <w:b/>
                              <w:color w:val="773AA9"/>
                              <w:spacing w:val="-5"/>
                            </w:rPr>
                            <w:t xml:space="preserve"> </w:t>
                          </w:r>
                          <w:r w:rsidR="000568B2">
                            <w:rPr>
                              <w:b/>
                              <w:color w:val="773AA9"/>
                            </w:rPr>
                            <w:t>Annual</w:t>
                          </w:r>
                          <w:r w:rsidR="000568B2">
                            <w:rPr>
                              <w:b/>
                              <w:color w:val="773AA9"/>
                              <w:spacing w:val="-3"/>
                            </w:rPr>
                            <w:t xml:space="preserve"> </w:t>
                          </w:r>
                          <w:r w:rsidR="000568B2">
                            <w:rPr>
                              <w:b/>
                              <w:color w:val="773AA9"/>
                            </w:rPr>
                            <w:t>Report</w:t>
                          </w:r>
                          <w:r w:rsidR="000568B2">
                            <w:rPr>
                              <w:b/>
                              <w:color w:val="773AA9"/>
                              <w:spacing w:val="-1"/>
                            </w:rPr>
                            <w:t xml:space="preserve"> </w:t>
                          </w:r>
                          <w:r w:rsidR="000568B2">
                            <w:rPr>
                              <w:b/>
                              <w:color w:val="773AA9"/>
                            </w:rPr>
                            <w:t>–</w:t>
                          </w:r>
                          <w:r w:rsidR="000568B2">
                            <w:rPr>
                              <w:b/>
                              <w:color w:val="773AA9"/>
                              <w:spacing w:val="-5"/>
                            </w:rPr>
                            <w:t xml:space="preserve"> </w:t>
                          </w:r>
                          <w:r w:rsidR="000568B2">
                            <w:rPr>
                              <w:b/>
                              <w:color w:val="773AA9"/>
                            </w:rPr>
                            <w:t>April</w:t>
                          </w:r>
                          <w:r w:rsidR="000568B2">
                            <w:rPr>
                              <w:b/>
                              <w:color w:val="773AA9"/>
                              <w:spacing w:val="-5"/>
                            </w:rPr>
                            <w:t xml:space="preserve"> </w:t>
                          </w:r>
                          <w:r w:rsidR="000568B2">
                            <w:rPr>
                              <w:b/>
                              <w:color w:val="773AA9"/>
                            </w:rPr>
                            <w:t>20</w:t>
                          </w:r>
                          <w:r w:rsidR="000F2343">
                            <w:rPr>
                              <w:b/>
                              <w:color w:val="773AA9"/>
                            </w:rPr>
                            <w:t>21</w:t>
                          </w:r>
                          <w:r w:rsidR="000568B2">
                            <w:rPr>
                              <w:b/>
                              <w:color w:val="773AA9"/>
                              <w:spacing w:val="-2"/>
                            </w:rPr>
                            <w:t xml:space="preserve"> </w:t>
                          </w:r>
                          <w:r w:rsidR="000568B2">
                            <w:rPr>
                              <w:b/>
                              <w:color w:val="773AA9"/>
                            </w:rPr>
                            <w:t>-</w:t>
                          </w:r>
                          <w:r w:rsidR="000568B2">
                            <w:rPr>
                              <w:b/>
                              <w:color w:val="773AA9"/>
                              <w:spacing w:val="-3"/>
                            </w:rPr>
                            <w:t xml:space="preserve"> </w:t>
                          </w:r>
                          <w:r w:rsidR="000568B2">
                            <w:rPr>
                              <w:b/>
                              <w:color w:val="773AA9"/>
                            </w:rPr>
                            <w:t>March</w:t>
                          </w:r>
                          <w:r w:rsidR="000568B2">
                            <w:rPr>
                              <w:b/>
                              <w:color w:val="773AA9"/>
                              <w:spacing w:val="-4"/>
                            </w:rPr>
                            <w:t xml:space="preserve"> 202</w:t>
                          </w:r>
                          <w:r w:rsidR="000F2343">
                            <w:rPr>
                              <w:b/>
                              <w:color w:val="773AA9"/>
                              <w:spacing w:val="-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C4211" id="_x0000_t202" coordsize="21600,21600" o:spt="202" path="m,l,21600r21600,l21600,xe">
              <v:stroke joinstyle="miter"/>
              <v:path gradientshapeok="t" o:connecttype="rect"/>
            </v:shapetype>
            <v:shape id="docshape1" o:spid="_x0000_s1026" type="#_x0000_t202" style="position:absolute;margin-left:125.25pt;margin-top:37.15pt;width:344.8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" filled="f" stroked="f">
              <v:textbox inset="0,0,0,0">
                <w:txbxContent>
                  <w:p w14:paraId="773C4214" w14:textId="23EBB3DF" w:rsidR="00771A4F" w:rsidRDefault="00DB6987">
                    <w:pPr>
                      <w:spacing w:line="245" w:lineRule="exact"/>
                      <w:ind w:left="20"/>
                      <w:rPr>
                        <w:b/>
                      </w:rPr>
                    </w:pPr>
                    <w:r>
                      <w:rPr>
                        <w:b/>
                        <w:color w:val="773AA9"/>
                      </w:rPr>
                      <w:t>North</w:t>
                    </w:r>
                    <w:r>
                      <w:rPr>
                        <w:b/>
                        <w:color w:val="773AA9"/>
                        <w:spacing w:val="-5"/>
                      </w:rPr>
                      <w:t>west</w:t>
                    </w:r>
                    <w:r w:rsidR="000568B2">
                      <w:rPr>
                        <w:b/>
                        <w:color w:val="773AA9"/>
                        <w:spacing w:val="-5"/>
                      </w:rPr>
                      <w:t xml:space="preserve"> </w:t>
                    </w:r>
                    <w:r w:rsidR="000568B2">
                      <w:rPr>
                        <w:b/>
                        <w:color w:val="773AA9"/>
                      </w:rPr>
                      <w:t>Police</w:t>
                    </w:r>
                    <w:r w:rsidR="000568B2">
                      <w:rPr>
                        <w:b/>
                        <w:color w:val="773AA9"/>
                        <w:spacing w:val="-6"/>
                      </w:rPr>
                      <w:t xml:space="preserve"> </w:t>
                    </w:r>
                    <w:r w:rsidR="000568B2">
                      <w:rPr>
                        <w:b/>
                        <w:color w:val="773AA9"/>
                      </w:rPr>
                      <w:t>Pension</w:t>
                    </w:r>
                    <w:r w:rsidR="000568B2">
                      <w:rPr>
                        <w:b/>
                        <w:color w:val="773AA9"/>
                        <w:spacing w:val="-6"/>
                      </w:rPr>
                      <w:t xml:space="preserve"> </w:t>
                    </w:r>
                    <w:r w:rsidR="000568B2">
                      <w:rPr>
                        <w:b/>
                        <w:color w:val="773AA9"/>
                      </w:rPr>
                      <w:t>Board:</w:t>
                    </w:r>
                    <w:r w:rsidR="000568B2">
                      <w:rPr>
                        <w:b/>
                        <w:color w:val="773AA9"/>
                        <w:spacing w:val="-5"/>
                      </w:rPr>
                      <w:t xml:space="preserve"> </w:t>
                    </w:r>
                    <w:r w:rsidR="000568B2">
                      <w:rPr>
                        <w:b/>
                        <w:color w:val="773AA9"/>
                      </w:rPr>
                      <w:t>Annual</w:t>
                    </w:r>
                    <w:r w:rsidR="000568B2">
                      <w:rPr>
                        <w:b/>
                        <w:color w:val="773AA9"/>
                        <w:spacing w:val="-3"/>
                      </w:rPr>
                      <w:t xml:space="preserve"> </w:t>
                    </w:r>
                    <w:r w:rsidR="000568B2">
                      <w:rPr>
                        <w:b/>
                        <w:color w:val="773AA9"/>
                      </w:rPr>
                      <w:t>Report</w:t>
                    </w:r>
                    <w:r w:rsidR="000568B2">
                      <w:rPr>
                        <w:b/>
                        <w:color w:val="773AA9"/>
                        <w:spacing w:val="-1"/>
                      </w:rPr>
                      <w:t xml:space="preserve"> </w:t>
                    </w:r>
                    <w:r w:rsidR="000568B2">
                      <w:rPr>
                        <w:b/>
                        <w:color w:val="773AA9"/>
                      </w:rPr>
                      <w:t>–</w:t>
                    </w:r>
                    <w:r w:rsidR="000568B2">
                      <w:rPr>
                        <w:b/>
                        <w:color w:val="773AA9"/>
                        <w:spacing w:val="-5"/>
                      </w:rPr>
                      <w:t xml:space="preserve"> </w:t>
                    </w:r>
                    <w:r w:rsidR="000568B2">
                      <w:rPr>
                        <w:b/>
                        <w:color w:val="773AA9"/>
                      </w:rPr>
                      <w:t>April</w:t>
                    </w:r>
                    <w:r w:rsidR="000568B2">
                      <w:rPr>
                        <w:b/>
                        <w:color w:val="773AA9"/>
                        <w:spacing w:val="-5"/>
                      </w:rPr>
                      <w:t xml:space="preserve"> </w:t>
                    </w:r>
                    <w:r w:rsidR="000568B2">
                      <w:rPr>
                        <w:b/>
                        <w:color w:val="773AA9"/>
                      </w:rPr>
                      <w:t>20</w:t>
                    </w:r>
                    <w:r w:rsidR="000F2343">
                      <w:rPr>
                        <w:b/>
                        <w:color w:val="773AA9"/>
                      </w:rPr>
                      <w:t>21</w:t>
                    </w:r>
                    <w:r w:rsidR="000568B2">
                      <w:rPr>
                        <w:b/>
                        <w:color w:val="773AA9"/>
                        <w:spacing w:val="-2"/>
                      </w:rPr>
                      <w:t xml:space="preserve"> </w:t>
                    </w:r>
                    <w:r w:rsidR="000568B2">
                      <w:rPr>
                        <w:b/>
                        <w:color w:val="773AA9"/>
                      </w:rPr>
                      <w:t>-</w:t>
                    </w:r>
                    <w:r w:rsidR="000568B2">
                      <w:rPr>
                        <w:b/>
                        <w:color w:val="773AA9"/>
                        <w:spacing w:val="-3"/>
                      </w:rPr>
                      <w:t xml:space="preserve"> </w:t>
                    </w:r>
                    <w:r w:rsidR="000568B2">
                      <w:rPr>
                        <w:b/>
                        <w:color w:val="773AA9"/>
                      </w:rPr>
                      <w:t>March</w:t>
                    </w:r>
                    <w:r w:rsidR="000568B2">
                      <w:rPr>
                        <w:b/>
                        <w:color w:val="773AA9"/>
                        <w:spacing w:val="-4"/>
                      </w:rPr>
                      <w:t xml:space="preserve"> 202</w:t>
                    </w:r>
                    <w:r w:rsidR="000F2343">
                      <w:rPr>
                        <w:b/>
                        <w:color w:val="773AA9"/>
                        <w:spacing w:val="-4"/>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7B08"/>
    <w:multiLevelType w:val="hybridMultilevel"/>
    <w:tmpl w:val="667648A0"/>
    <w:lvl w:ilvl="0" w:tplc="84E0F884">
      <w:start w:val="1"/>
      <w:numFmt w:val="lowerRoman"/>
      <w:lvlText w:val="%1."/>
      <w:lvlJc w:val="left"/>
      <w:pPr>
        <w:ind w:left="2640" w:hanging="466"/>
        <w:jc w:val="right"/>
      </w:pPr>
      <w:rPr>
        <w:rFonts w:ascii="Calibri" w:eastAsia="Calibri" w:hAnsi="Calibri" w:cs="Calibri" w:hint="default"/>
        <w:b w:val="0"/>
        <w:bCs w:val="0"/>
        <w:i w:val="0"/>
        <w:iCs w:val="0"/>
        <w:spacing w:val="-1"/>
        <w:w w:val="100"/>
        <w:sz w:val="22"/>
        <w:szCs w:val="22"/>
        <w:lang w:val="en-US" w:eastAsia="en-US" w:bidi="ar-SA"/>
      </w:rPr>
    </w:lvl>
    <w:lvl w:ilvl="1" w:tplc="A0403E1A">
      <w:numFmt w:val="bullet"/>
      <w:lvlText w:val="•"/>
      <w:lvlJc w:val="left"/>
      <w:pPr>
        <w:ind w:left="3518" w:hanging="466"/>
      </w:pPr>
      <w:rPr>
        <w:rFonts w:hint="default"/>
        <w:lang w:val="en-US" w:eastAsia="en-US" w:bidi="ar-SA"/>
      </w:rPr>
    </w:lvl>
    <w:lvl w:ilvl="2" w:tplc="F1561412">
      <w:numFmt w:val="bullet"/>
      <w:lvlText w:val="•"/>
      <w:lvlJc w:val="left"/>
      <w:pPr>
        <w:ind w:left="4397" w:hanging="466"/>
      </w:pPr>
      <w:rPr>
        <w:rFonts w:hint="default"/>
        <w:lang w:val="en-US" w:eastAsia="en-US" w:bidi="ar-SA"/>
      </w:rPr>
    </w:lvl>
    <w:lvl w:ilvl="3" w:tplc="60C02F36">
      <w:numFmt w:val="bullet"/>
      <w:lvlText w:val="•"/>
      <w:lvlJc w:val="left"/>
      <w:pPr>
        <w:ind w:left="5275" w:hanging="466"/>
      </w:pPr>
      <w:rPr>
        <w:rFonts w:hint="default"/>
        <w:lang w:val="en-US" w:eastAsia="en-US" w:bidi="ar-SA"/>
      </w:rPr>
    </w:lvl>
    <w:lvl w:ilvl="4" w:tplc="B504C7E6">
      <w:numFmt w:val="bullet"/>
      <w:lvlText w:val="•"/>
      <w:lvlJc w:val="left"/>
      <w:pPr>
        <w:ind w:left="6154" w:hanging="466"/>
      </w:pPr>
      <w:rPr>
        <w:rFonts w:hint="default"/>
        <w:lang w:val="en-US" w:eastAsia="en-US" w:bidi="ar-SA"/>
      </w:rPr>
    </w:lvl>
    <w:lvl w:ilvl="5" w:tplc="6266387A">
      <w:numFmt w:val="bullet"/>
      <w:lvlText w:val="•"/>
      <w:lvlJc w:val="left"/>
      <w:pPr>
        <w:ind w:left="7033" w:hanging="466"/>
      </w:pPr>
      <w:rPr>
        <w:rFonts w:hint="default"/>
        <w:lang w:val="en-US" w:eastAsia="en-US" w:bidi="ar-SA"/>
      </w:rPr>
    </w:lvl>
    <w:lvl w:ilvl="6" w:tplc="14B005EA">
      <w:numFmt w:val="bullet"/>
      <w:lvlText w:val="•"/>
      <w:lvlJc w:val="left"/>
      <w:pPr>
        <w:ind w:left="7911" w:hanging="466"/>
      </w:pPr>
      <w:rPr>
        <w:rFonts w:hint="default"/>
        <w:lang w:val="en-US" w:eastAsia="en-US" w:bidi="ar-SA"/>
      </w:rPr>
    </w:lvl>
    <w:lvl w:ilvl="7" w:tplc="3A1C9000">
      <w:numFmt w:val="bullet"/>
      <w:lvlText w:val="•"/>
      <w:lvlJc w:val="left"/>
      <w:pPr>
        <w:ind w:left="8790" w:hanging="466"/>
      </w:pPr>
      <w:rPr>
        <w:rFonts w:hint="default"/>
        <w:lang w:val="en-US" w:eastAsia="en-US" w:bidi="ar-SA"/>
      </w:rPr>
    </w:lvl>
    <w:lvl w:ilvl="8" w:tplc="ED14D602">
      <w:numFmt w:val="bullet"/>
      <w:lvlText w:val="•"/>
      <w:lvlJc w:val="left"/>
      <w:pPr>
        <w:ind w:left="9669" w:hanging="466"/>
      </w:pPr>
      <w:rPr>
        <w:rFonts w:hint="default"/>
        <w:lang w:val="en-US" w:eastAsia="en-US" w:bidi="ar-SA"/>
      </w:rPr>
    </w:lvl>
  </w:abstractNum>
  <w:abstractNum w:abstractNumId="1" w15:restartNumberingAfterBreak="0">
    <w:nsid w:val="2B9360C6"/>
    <w:multiLevelType w:val="hybridMultilevel"/>
    <w:tmpl w:val="B268B500"/>
    <w:lvl w:ilvl="0" w:tplc="52DE69C0">
      <w:numFmt w:val="bullet"/>
      <w:lvlText w:val=""/>
      <w:lvlJc w:val="left"/>
      <w:pPr>
        <w:ind w:left="2280" w:hanging="360"/>
      </w:pPr>
      <w:rPr>
        <w:rFonts w:ascii="Symbol" w:eastAsia="Symbol" w:hAnsi="Symbol" w:cs="Symbol" w:hint="default"/>
        <w:b w:val="0"/>
        <w:bCs w:val="0"/>
        <w:i w:val="0"/>
        <w:iCs w:val="0"/>
        <w:w w:val="100"/>
        <w:sz w:val="22"/>
        <w:szCs w:val="22"/>
        <w:lang w:val="en-US" w:eastAsia="en-US" w:bidi="ar-SA"/>
      </w:rPr>
    </w:lvl>
    <w:lvl w:ilvl="1" w:tplc="7658AD9C">
      <w:numFmt w:val="bullet"/>
      <w:lvlText w:val="•"/>
      <w:lvlJc w:val="left"/>
      <w:pPr>
        <w:ind w:left="3194" w:hanging="360"/>
      </w:pPr>
      <w:rPr>
        <w:rFonts w:hint="default"/>
        <w:lang w:val="en-US" w:eastAsia="en-US" w:bidi="ar-SA"/>
      </w:rPr>
    </w:lvl>
    <w:lvl w:ilvl="2" w:tplc="D3423FFA">
      <w:numFmt w:val="bullet"/>
      <w:lvlText w:val="•"/>
      <w:lvlJc w:val="left"/>
      <w:pPr>
        <w:ind w:left="4109" w:hanging="360"/>
      </w:pPr>
      <w:rPr>
        <w:rFonts w:hint="default"/>
        <w:lang w:val="en-US" w:eastAsia="en-US" w:bidi="ar-SA"/>
      </w:rPr>
    </w:lvl>
    <w:lvl w:ilvl="3" w:tplc="A79CA0BE">
      <w:numFmt w:val="bullet"/>
      <w:lvlText w:val="•"/>
      <w:lvlJc w:val="left"/>
      <w:pPr>
        <w:ind w:left="5023" w:hanging="360"/>
      </w:pPr>
      <w:rPr>
        <w:rFonts w:hint="default"/>
        <w:lang w:val="en-US" w:eastAsia="en-US" w:bidi="ar-SA"/>
      </w:rPr>
    </w:lvl>
    <w:lvl w:ilvl="4" w:tplc="39467DB2">
      <w:numFmt w:val="bullet"/>
      <w:lvlText w:val="•"/>
      <w:lvlJc w:val="left"/>
      <w:pPr>
        <w:ind w:left="5938" w:hanging="360"/>
      </w:pPr>
      <w:rPr>
        <w:rFonts w:hint="default"/>
        <w:lang w:val="en-US" w:eastAsia="en-US" w:bidi="ar-SA"/>
      </w:rPr>
    </w:lvl>
    <w:lvl w:ilvl="5" w:tplc="91D40D08">
      <w:numFmt w:val="bullet"/>
      <w:lvlText w:val="•"/>
      <w:lvlJc w:val="left"/>
      <w:pPr>
        <w:ind w:left="6853" w:hanging="360"/>
      </w:pPr>
      <w:rPr>
        <w:rFonts w:hint="default"/>
        <w:lang w:val="en-US" w:eastAsia="en-US" w:bidi="ar-SA"/>
      </w:rPr>
    </w:lvl>
    <w:lvl w:ilvl="6" w:tplc="348E75F2">
      <w:numFmt w:val="bullet"/>
      <w:lvlText w:val="•"/>
      <w:lvlJc w:val="left"/>
      <w:pPr>
        <w:ind w:left="7767" w:hanging="360"/>
      </w:pPr>
      <w:rPr>
        <w:rFonts w:hint="default"/>
        <w:lang w:val="en-US" w:eastAsia="en-US" w:bidi="ar-SA"/>
      </w:rPr>
    </w:lvl>
    <w:lvl w:ilvl="7" w:tplc="4934C70C">
      <w:numFmt w:val="bullet"/>
      <w:lvlText w:val="•"/>
      <w:lvlJc w:val="left"/>
      <w:pPr>
        <w:ind w:left="8682" w:hanging="360"/>
      </w:pPr>
      <w:rPr>
        <w:rFonts w:hint="default"/>
        <w:lang w:val="en-US" w:eastAsia="en-US" w:bidi="ar-SA"/>
      </w:rPr>
    </w:lvl>
    <w:lvl w:ilvl="8" w:tplc="C18C921C">
      <w:numFmt w:val="bullet"/>
      <w:lvlText w:val="•"/>
      <w:lvlJc w:val="left"/>
      <w:pPr>
        <w:ind w:left="9597" w:hanging="360"/>
      </w:pPr>
      <w:rPr>
        <w:rFonts w:hint="default"/>
        <w:lang w:val="en-US" w:eastAsia="en-US" w:bidi="ar-SA"/>
      </w:rPr>
    </w:lvl>
  </w:abstractNum>
  <w:abstractNum w:abstractNumId="2" w15:restartNumberingAfterBreak="0">
    <w:nsid w:val="53E658E8"/>
    <w:multiLevelType w:val="hybridMultilevel"/>
    <w:tmpl w:val="1534ADEE"/>
    <w:lvl w:ilvl="0" w:tplc="2EFE2E44">
      <w:start w:val="1"/>
      <w:numFmt w:val="decimal"/>
      <w:lvlText w:val="%1."/>
      <w:lvlJc w:val="left"/>
      <w:pPr>
        <w:ind w:left="1920" w:hanging="360"/>
      </w:pPr>
      <w:rPr>
        <w:rFonts w:ascii="Calibri" w:eastAsia="Calibri" w:hAnsi="Calibri" w:cs="Calibri" w:hint="default"/>
        <w:b w:val="0"/>
        <w:bCs w:val="0"/>
        <w:i w:val="0"/>
        <w:iCs w:val="0"/>
        <w:w w:val="100"/>
        <w:sz w:val="22"/>
        <w:szCs w:val="22"/>
        <w:lang w:val="en-US" w:eastAsia="en-US" w:bidi="ar-SA"/>
      </w:rPr>
    </w:lvl>
    <w:lvl w:ilvl="1" w:tplc="50F66EEA">
      <w:numFmt w:val="bullet"/>
      <w:lvlText w:val=""/>
      <w:lvlJc w:val="left"/>
      <w:pPr>
        <w:ind w:left="3044" w:hanging="786"/>
      </w:pPr>
      <w:rPr>
        <w:rFonts w:ascii="Symbol" w:eastAsia="Symbol" w:hAnsi="Symbol" w:cs="Symbol" w:hint="default"/>
        <w:b w:val="0"/>
        <w:bCs w:val="0"/>
        <w:i w:val="0"/>
        <w:iCs w:val="0"/>
        <w:w w:val="100"/>
        <w:sz w:val="22"/>
        <w:szCs w:val="22"/>
        <w:lang w:val="en-US" w:eastAsia="en-US" w:bidi="ar-SA"/>
      </w:rPr>
    </w:lvl>
    <w:lvl w:ilvl="2" w:tplc="66FC6650">
      <w:numFmt w:val="bullet"/>
      <w:lvlText w:val="•"/>
      <w:lvlJc w:val="left"/>
      <w:pPr>
        <w:ind w:left="3720" w:hanging="786"/>
      </w:pPr>
      <w:rPr>
        <w:rFonts w:hint="default"/>
        <w:lang w:val="en-US" w:eastAsia="en-US" w:bidi="ar-SA"/>
      </w:rPr>
    </w:lvl>
    <w:lvl w:ilvl="3" w:tplc="A2DAF722">
      <w:numFmt w:val="bullet"/>
      <w:lvlText w:val="•"/>
      <w:lvlJc w:val="left"/>
      <w:pPr>
        <w:ind w:left="4683" w:hanging="786"/>
      </w:pPr>
      <w:rPr>
        <w:rFonts w:hint="default"/>
        <w:lang w:val="en-US" w:eastAsia="en-US" w:bidi="ar-SA"/>
      </w:rPr>
    </w:lvl>
    <w:lvl w:ilvl="4" w:tplc="6CE634A8">
      <w:numFmt w:val="bullet"/>
      <w:lvlText w:val="•"/>
      <w:lvlJc w:val="left"/>
      <w:pPr>
        <w:ind w:left="5646" w:hanging="786"/>
      </w:pPr>
      <w:rPr>
        <w:rFonts w:hint="default"/>
        <w:lang w:val="en-US" w:eastAsia="en-US" w:bidi="ar-SA"/>
      </w:rPr>
    </w:lvl>
    <w:lvl w:ilvl="5" w:tplc="62829396">
      <w:numFmt w:val="bullet"/>
      <w:lvlText w:val="•"/>
      <w:lvlJc w:val="left"/>
      <w:pPr>
        <w:ind w:left="6609" w:hanging="786"/>
      </w:pPr>
      <w:rPr>
        <w:rFonts w:hint="default"/>
        <w:lang w:val="en-US" w:eastAsia="en-US" w:bidi="ar-SA"/>
      </w:rPr>
    </w:lvl>
    <w:lvl w:ilvl="6" w:tplc="758C001A">
      <w:numFmt w:val="bullet"/>
      <w:lvlText w:val="•"/>
      <w:lvlJc w:val="left"/>
      <w:pPr>
        <w:ind w:left="7573" w:hanging="786"/>
      </w:pPr>
      <w:rPr>
        <w:rFonts w:hint="default"/>
        <w:lang w:val="en-US" w:eastAsia="en-US" w:bidi="ar-SA"/>
      </w:rPr>
    </w:lvl>
    <w:lvl w:ilvl="7" w:tplc="6162538C">
      <w:numFmt w:val="bullet"/>
      <w:lvlText w:val="•"/>
      <w:lvlJc w:val="left"/>
      <w:pPr>
        <w:ind w:left="8536" w:hanging="786"/>
      </w:pPr>
      <w:rPr>
        <w:rFonts w:hint="default"/>
        <w:lang w:val="en-US" w:eastAsia="en-US" w:bidi="ar-SA"/>
      </w:rPr>
    </w:lvl>
    <w:lvl w:ilvl="8" w:tplc="7BC81282">
      <w:numFmt w:val="bullet"/>
      <w:lvlText w:val="•"/>
      <w:lvlJc w:val="left"/>
      <w:pPr>
        <w:ind w:left="9499" w:hanging="786"/>
      </w:pPr>
      <w:rPr>
        <w:rFonts w:hint="default"/>
        <w:lang w:val="en-US" w:eastAsia="en-US" w:bidi="ar-SA"/>
      </w:rPr>
    </w:lvl>
  </w:abstractNum>
  <w:abstractNum w:abstractNumId="3" w15:restartNumberingAfterBreak="0">
    <w:nsid w:val="5D986C8B"/>
    <w:multiLevelType w:val="hybridMultilevel"/>
    <w:tmpl w:val="D8F27CDE"/>
    <w:lvl w:ilvl="0" w:tplc="C7B4CA0E">
      <w:start w:val="1"/>
      <w:numFmt w:val="decimal"/>
      <w:lvlText w:val="%1."/>
      <w:lvlJc w:val="left"/>
      <w:pPr>
        <w:ind w:left="2326" w:hanging="360"/>
      </w:pPr>
      <w:rPr>
        <w:rFonts w:ascii="Calibri" w:eastAsia="Calibri" w:hAnsi="Calibri" w:cs="Calibri" w:hint="default"/>
        <w:b w:val="0"/>
        <w:bCs w:val="0"/>
        <w:i w:val="0"/>
        <w:iCs w:val="0"/>
        <w:w w:val="100"/>
        <w:sz w:val="22"/>
        <w:szCs w:val="22"/>
        <w:lang w:val="en-US" w:eastAsia="en-US" w:bidi="ar-SA"/>
      </w:rPr>
    </w:lvl>
    <w:lvl w:ilvl="1" w:tplc="1C6E1A98">
      <w:numFmt w:val="bullet"/>
      <w:lvlText w:val="•"/>
      <w:lvlJc w:val="left"/>
      <w:pPr>
        <w:ind w:left="3230" w:hanging="360"/>
      </w:pPr>
      <w:rPr>
        <w:rFonts w:hint="default"/>
        <w:lang w:val="en-US" w:eastAsia="en-US" w:bidi="ar-SA"/>
      </w:rPr>
    </w:lvl>
    <w:lvl w:ilvl="2" w:tplc="A9E2D216">
      <w:numFmt w:val="bullet"/>
      <w:lvlText w:val="•"/>
      <w:lvlJc w:val="left"/>
      <w:pPr>
        <w:ind w:left="4141" w:hanging="360"/>
      </w:pPr>
      <w:rPr>
        <w:rFonts w:hint="default"/>
        <w:lang w:val="en-US" w:eastAsia="en-US" w:bidi="ar-SA"/>
      </w:rPr>
    </w:lvl>
    <w:lvl w:ilvl="3" w:tplc="4330045A">
      <w:numFmt w:val="bullet"/>
      <w:lvlText w:val="•"/>
      <w:lvlJc w:val="left"/>
      <w:pPr>
        <w:ind w:left="5051" w:hanging="360"/>
      </w:pPr>
      <w:rPr>
        <w:rFonts w:hint="default"/>
        <w:lang w:val="en-US" w:eastAsia="en-US" w:bidi="ar-SA"/>
      </w:rPr>
    </w:lvl>
    <w:lvl w:ilvl="4" w:tplc="5E0208DA">
      <w:numFmt w:val="bullet"/>
      <w:lvlText w:val="•"/>
      <w:lvlJc w:val="left"/>
      <w:pPr>
        <w:ind w:left="5962" w:hanging="360"/>
      </w:pPr>
      <w:rPr>
        <w:rFonts w:hint="default"/>
        <w:lang w:val="en-US" w:eastAsia="en-US" w:bidi="ar-SA"/>
      </w:rPr>
    </w:lvl>
    <w:lvl w:ilvl="5" w:tplc="E3ACC248">
      <w:numFmt w:val="bullet"/>
      <w:lvlText w:val="•"/>
      <w:lvlJc w:val="left"/>
      <w:pPr>
        <w:ind w:left="6873" w:hanging="360"/>
      </w:pPr>
      <w:rPr>
        <w:rFonts w:hint="default"/>
        <w:lang w:val="en-US" w:eastAsia="en-US" w:bidi="ar-SA"/>
      </w:rPr>
    </w:lvl>
    <w:lvl w:ilvl="6" w:tplc="011275F0">
      <w:numFmt w:val="bullet"/>
      <w:lvlText w:val="•"/>
      <w:lvlJc w:val="left"/>
      <w:pPr>
        <w:ind w:left="7783" w:hanging="360"/>
      </w:pPr>
      <w:rPr>
        <w:rFonts w:hint="default"/>
        <w:lang w:val="en-US" w:eastAsia="en-US" w:bidi="ar-SA"/>
      </w:rPr>
    </w:lvl>
    <w:lvl w:ilvl="7" w:tplc="0E46EE02">
      <w:numFmt w:val="bullet"/>
      <w:lvlText w:val="•"/>
      <w:lvlJc w:val="left"/>
      <w:pPr>
        <w:ind w:left="8694" w:hanging="360"/>
      </w:pPr>
      <w:rPr>
        <w:rFonts w:hint="default"/>
        <w:lang w:val="en-US" w:eastAsia="en-US" w:bidi="ar-SA"/>
      </w:rPr>
    </w:lvl>
    <w:lvl w:ilvl="8" w:tplc="6C8E0D1A">
      <w:numFmt w:val="bullet"/>
      <w:lvlText w:val="•"/>
      <w:lvlJc w:val="left"/>
      <w:pPr>
        <w:ind w:left="9605" w:hanging="360"/>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A4F"/>
    <w:rsid w:val="000026E7"/>
    <w:rsid w:val="000072C8"/>
    <w:rsid w:val="00030F9E"/>
    <w:rsid w:val="000321EE"/>
    <w:rsid w:val="00044522"/>
    <w:rsid w:val="000568B2"/>
    <w:rsid w:val="00067E14"/>
    <w:rsid w:val="0008326C"/>
    <w:rsid w:val="000A37FA"/>
    <w:rsid w:val="000E01BD"/>
    <w:rsid w:val="000E5CB6"/>
    <w:rsid w:val="000F2343"/>
    <w:rsid w:val="001271F6"/>
    <w:rsid w:val="001440D3"/>
    <w:rsid w:val="00162C49"/>
    <w:rsid w:val="001D6066"/>
    <w:rsid w:val="001D67C1"/>
    <w:rsid w:val="002008C5"/>
    <w:rsid w:val="00203070"/>
    <w:rsid w:val="00220F0D"/>
    <w:rsid w:val="002527E9"/>
    <w:rsid w:val="00257E2D"/>
    <w:rsid w:val="00262463"/>
    <w:rsid w:val="002720D9"/>
    <w:rsid w:val="00280E4E"/>
    <w:rsid w:val="002852CE"/>
    <w:rsid w:val="0029691B"/>
    <w:rsid w:val="002A370F"/>
    <w:rsid w:val="002D4B9B"/>
    <w:rsid w:val="002E221B"/>
    <w:rsid w:val="003047F6"/>
    <w:rsid w:val="00325EEF"/>
    <w:rsid w:val="00334AAA"/>
    <w:rsid w:val="003605EC"/>
    <w:rsid w:val="0036633D"/>
    <w:rsid w:val="003B1A0E"/>
    <w:rsid w:val="003C15FB"/>
    <w:rsid w:val="003F4067"/>
    <w:rsid w:val="0040668C"/>
    <w:rsid w:val="00483BD1"/>
    <w:rsid w:val="004B1845"/>
    <w:rsid w:val="005223BF"/>
    <w:rsid w:val="00526575"/>
    <w:rsid w:val="00554092"/>
    <w:rsid w:val="005948E9"/>
    <w:rsid w:val="005952C7"/>
    <w:rsid w:val="00596B0D"/>
    <w:rsid w:val="005A790D"/>
    <w:rsid w:val="005C6BB1"/>
    <w:rsid w:val="005E1810"/>
    <w:rsid w:val="005F7F8F"/>
    <w:rsid w:val="00620812"/>
    <w:rsid w:val="00632A4D"/>
    <w:rsid w:val="00643648"/>
    <w:rsid w:val="0064364B"/>
    <w:rsid w:val="00651EAC"/>
    <w:rsid w:val="00682409"/>
    <w:rsid w:val="00693E15"/>
    <w:rsid w:val="0069431C"/>
    <w:rsid w:val="006B3913"/>
    <w:rsid w:val="006D43E2"/>
    <w:rsid w:val="006D6F85"/>
    <w:rsid w:val="007076D2"/>
    <w:rsid w:val="0071009C"/>
    <w:rsid w:val="007210A4"/>
    <w:rsid w:val="00723EE5"/>
    <w:rsid w:val="007260CC"/>
    <w:rsid w:val="00730709"/>
    <w:rsid w:val="00760F94"/>
    <w:rsid w:val="00765BB6"/>
    <w:rsid w:val="00771A4F"/>
    <w:rsid w:val="007745C1"/>
    <w:rsid w:val="00787712"/>
    <w:rsid w:val="007A3B1B"/>
    <w:rsid w:val="007C7A13"/>
    <w:rsid w:val="007D75AD"/>
    <w:rsid w:val="007E6B6B"/>
    <w:rsid w:val="00806160"/>
    <w:rsid w:val="00810C42"/>
    <w:rsid w:val="00840234"/>
    <w:rsid w:val="00854481"/>
    <w:rsid w:val="00867193"/>
    <w:rsid w:val="008744DB"/>
    <w:rsid w:val="008A7B3F"/>
    <w:rsid w:val="008F4CFF"/>
    <w:rsid w:val="00910A10"/>
    <w:rsid w:val="009155AA"/>
    <w:rsid w:val="0092511A"/>
    <w:rsid w:val="00925970"/>
    <w:rsid w:val="00930E99"/>
    <w:rsid w:val="009335B1"/>
    <w:rsid w:val="00980180"/>
    <w:rsid w:val="00981E7B"/>
    <w:rsid w:val="00993EDF"/>
    <w:rsid w:val="00995DD7"/>
    <w:rsid w:val="00A17238"/>
    <w:rsid w:val="00A46FF6"/>
    <w:rsid w:val="00A66ADA"/>
    <w:rsid w:val="00A81A67"/>
    <w:rsid w:val="00AD0EE3"/>
    <w:rsid w:val="00AD6FA4"/>
    <w:rsid w:val="00AE3BE4"/>
    <w:rsid w:val="00AE6F36"/>
    <w:rsid w:val="00B02BD0"/>
    <w:rsid w:val="00B2475B"/>
    <w:rsid w:val="00B3437A"/>
    <w:rsid w:val="00B36726"/>
    <w:rsid w:val="00B4344F"/>
    <w:rsid w:val="00B870B7"/>
    <w:rsid w:val="00BA54C1"/>
    <w:rsid w:val="00BB061E"/>
    <w:rsid w:val="00BB1571"/>
    <w:rsid w:val="00BD6CB8"/>
    <w:rsid w:val="00BF49C3"/>
    <w:rsid w:val="00C144D7"/>
    <w:rsid w:val="00C21AE0"/>
    <w:rsid w:val="00C45CB7"/>
    <w:rsid w:val="00C53AE2"/>
    <w:rsid w:val="00C568E4"/>
    <w:rsid w:val="00C74135"/>
    <w:rsid w:val="00C778F5"/>
    <w:rsid w:val="00C87CDE"/>
    <w:rsid w:val="00D10EBB"/>
    <w:rsid w:val="00D40C5C"/>
    <w:rsid w:val="00D4610F"/>
    <w:rsid w:val="00D51874"/>
    <w:rsid w:val="00D52A54"/>
    <w:rsid w:val="00D7527C"/>
    <w:rsid w:val="00DB2CA8"/>
    <w:rsid w:val="00DB6987"/>
    <w:rsid w:val="00DC0D4D"/>
    <w:rsid w:val="00DE2541"/>
    <w:rsid w:val="00E12B03"/>
    <w:rsid w:val="00E374D7"/>
    <w:rsid w:val="00E44BDF"/>
    <w:rsid w:val="00E47493"/>
    <w:rsid w:val="00E614C6"/>
    <w:rsid w:val="00E87E10"/>
    <w:rsid w:val="00EA25B0"/>
    <w:rsid w:val="00EA3277"/>
    <w:rsid w:val="00EA458F"/>
    <w:rsid w:val="00EA4C6C"/>
    <w:rsid w:val="00EA5FEB"/>
    <w:rsid w:val="00EC5157"/>
    <w:rsid w:val="00ED226D"/>
    <w:rsid w:val="00ED43E5"/>
    <w:rsid w:val="00F068D4"/>
    <w:rsid w:val="00F249C3"/>
    <w:rsid w:val="00F36343"/>
    <w:rsid w:val="00F40AE2"/>
    <w:rsid w:val="00F41C2A"/>
    <w:rsid w:val="00F80411"/>
    <w:rsid w:val="00F811D9"/>
    <w:rsid w:val="00F93CFE"/>
    <w:rsid w:val="00F94561"/>
    <w:rsid w:val="00FB35A2"/>
    <w:rsid w:val="00FF5D32"/>
    <w:rsid w:val="030196D1"/>
    <w:rsid w:val="039A9477"/>
    <w:rsid w:val="05BA035F"/>
    <w:rsid w:val="063080BF"/>
    <w:rsid w:val="065BEAAA"/>
    <w:rsid w:val="0736E9E7"/>
    <w:rsid w:val="0760B5A3"/>
    <w:rsid w:val="0AB7730F"/>
    <w:rsid w:val="0B27D3E9"/>
    <w:rsid w:val="0B75E653"/>
    <w:rsid w:val="0C20B15B"/>
    <w:rsid w:val="0C2B3E1C"/>
    <w:rsid w:val="0C76C7CC"/>
    <w:rsid w:val="0CC1466A"/>
    <w:rsid w:val="0D437993"/>
    <w:rsid w:val="0E67F8AE"/>
    <w:rsid w:val="0EF4E581"/>
    <w:rsid w:val="0F4A1B28"/>
    <w:rsid w:val="0F4F8054"/>
    <w:rsid w:val="0FF7ADA4"/>
    <w:rsid w:val="1063EB31"/>
    <w:rsid w:val="11622A65"/>
    <w:rsid w:val="11CA6BE3"/>
    <w:rsid w:val="12310F32"/>
    <w:rsid w:val="12812472"/>
    <w:rsid w:val="12A81221"/>
    <w:rsid w:val="12A89349"/>
    <w:rsid w:val="12BA6598"/>
    <w:rsid w:val="12CDD616"/>
    <w:rsid w:val="12E5CF83"/>
    <w:rsid w:val="133C0149"/>
    <w:rsid w:val="138DAA20"/>
    <w:rsid w:val="144C1D64"/>
    <w:rsid w:val="146A70C0"/>
    <w:rsid w:val="14A46CA3"/>
    <w:rsid w:val="14EE04AF"/>
    <w:rsid w:val="169CC50E"/>
    <w:rsid w:val="17B1B8C2"/>
    <w:rsid w:val="1884FD4A"/>
    <w:rsid w:val="189D2988"/>
    <w:rsid w:val="190B54BB"/>
    <w:rsid w:val="1A1917A8"/>
    <w:rsid w:val="1A786132"/>
    <w:rsid w:val="1B0D77F8"/>
    <w:rsid w:val="1B623E61"/>
    <w:rsid w:val="1B689FED"/>
    <w:rsid w:val="1C3D3D9E"/>
    <w:rsid w:val="1D687E16"/>
    <w:rsid w:val="1E4E299E"/>
    <w:rsid w:val="1E75FD1C"/>
    <w:rsid w:val="1F444A71"/>
    <w:rsid w:val="1F4C69CD"/>
    <w:rsid w:val="1F5ED394"/>
    <w:rsid w:val="1F6FB45C"/>
    <w:rsid w:val="2032181C"/>
    <w:rsid w:val="20845966"/>
    <w:rsid w:val="252C240D"/>
    <w:rsid w:val="2574BC24"/>
    <w:rsid w:val="276BE84F"/>
    <w:rsid w:val="27C0B94F"/>
    <w:rsid w:val="27F9B274"/>
    <w:rsid w:val="29AE00B1"/>
    <w:rsid w:val="2A376E03"/>
    <w:rsid w:val="2B22950C"/>
    <w:rsid w:val="2B6FDE28"/>
    <w:rsid w:val="2B84AF6C"/>
    <w:rsid w:val="2B9CA8D9"/>
    <w:rsid w:val="2DA37D3F"/>
    <w:rsid w:val="2E098916"/>
    <w:rsid w:val="2E8EBB34"/>
    <w:rsid w:val="2F7D5423"/>
    <w:rsid w:val="2FE8572D"/>
    <w:rsid w:val="30358450"/>
    <w:rsid w:val="3072450B"/>
    <w:rsid w:val="30B543BC"/>
    <w:rsid w:val="32322A44"/>
    <w:rsid w:val="3246FB88"/>
    <w:rsid w:val="3349C3AB"/>
    <w:rsid w:val="33B794CF"/>
    <w:rsid w:val="358E765B"/>
    <w:rsid w:val="3685F7F4"/>
    <w:rsid w:val="368A0DF8"/>
    <w:rsid w:val="3712E4C7"/>
    <w:rsid w:val="3815ACEA"/>
    <w:rsid w:val="38268DB2"/>
    <w:rsid w:val="38B96E0D"/>
    <w:rsid w:val="3911FE78"/>
    <w:rsid w:val="3931B29A"/>
    <w:rsid w:val="3A455B85"/>
    <w:rsid w:val="3A8A5274"/>
    <w:rsid w:val="3B03CEC9"/>
    <w:rsid w:val="3B18A00D"/>
    <w:rsid w:val="3BABA966"/>
    <w:rsid w:val="3C0B2978"/>
    <w:rsid w:val="3C105477"/>
    <w:rsid w:val="3C23C4F5"/>
    <w:rsid w:val="3CF82AD1"/>
    <w:rsid w:val="3EB844E4"/>
    <w:rsid w:val="400635AC"/>
    <w:rsid w:val="407DEC94"/>
    <w:rsid w:val="40C4A8F0"/>
    <w:rsid w:val="413E2545"/>
    <w:rsid w:val="41DBB672"/>
    <w:rsid w:val="44F5697A"/>
    <w:rsid w:val="451ADF18"/>
    <w:rsid w:val="455EA717"/>
    <w:rsid w:val="46D0D3F5"/>
    <w:rsid w:val="4801B989"/>
    <w:rsid w:val="48A5EF19"/>
    <w:rsid w:val="48DF303F"/>
    <w:rsid w:val="491EFC2F"/>
    <w:rsid w:val="49538195"/>
    <w:rsid w:val="4964625D"/>
    <w:rsid w:val="4A22D5A1"/>
    <w:rsid w:val="4C009D01"/>
    <w:rsid w:val="4C29AA07"/>
    <w:rsid w:val="4D093233"/>
    <w:rsid w:val="4DC644B1"/>
    <w:rsid w:val="4E68F54A"/>
    <w:rsid w:val="4EEEBEE0"/>
    <w:rsid w:val="4F33B5CF"/>
    <w:rsid w:val="4F3CD14A"/>
    <w:rsid w:val="4F90A62B"/>
    <w:rsid w:val="4FC6BF28"/>
    <w:rsid w:val="5063EAB3"/>
    <w:rsid w:val="50F59346"/>
    <w:rsid w:val="51E0D13B"/>
    <w:rsid w:val="521A1261"/>
    <w:rsid w:val="529F447F"/>
    <w:rsid w:val="537744C7"/>
    <w:rsid w:val="540759C3"/>
    <w:rsid w:val="54977B68"/>
    <w:rsid w:val="54BE1252"/>
    <w:rsid w:val="54C5CD07"/>
    <w:rsid w:val="55EE4736"/>
    <w:rsid w:val="56F96C1E"/>
    <w:rsid w:val="577F8FC3"/>
    <w:rsid w:val="57982B40"/>
    <w:rsid w:val="57FE3717"/>
    <w:rsid w:val="58065673"/>
    <w:rsid w:val="58A83DBE"/>
    <w:rsid w:val="59D80DFB"/>
    <w:rsid w:val="5A31D62E"/>
    <w:rsid w:val="5B9A5019"/>
    <w:rsid w:val="5C50A401"/>
    <w:rsid w:val="5C6EB3B7"/>
    <w:rsid w:val="5CD8FE48"/>
    <w:rsid w:val="5D423BE5"/>
    <w:rsid w:val="5E1AA0D4"/>
    <w:rsid w:val="5E2A7AE5"/>
    <w:rsid w:val="5E8C6274"/>
    <w:rsid w:val="5FE241FA"/>
    <w:rsid w:val="6046208F"/>
    <w:rsid w:val="60FE0B56"/>
    <w:rsid w:val="629973C8"/>
    <w:rsid w:val="63B1AF3F"/>
    <w:rsid w:val="63E4D3DF"/>
    <w:rsid w:val="6416BEF7"/>
    <w:rsid w:val="645BB5E6"/>
    <w:rsid w:val="64DBF0D1"/>
    <w:rsid w:val="653D73B9"/>
    <w:rsid w:val="65468F34"/>
    <w:rsid w:val="65DC2166"/>
    <w:rsid w:val="66D6442A"/>
    <w:rsid w:val="67174A9D"/>
    <w:rsid w:val="6823D04B"/>
    <w:rsid w:val="68E2A836"/>
    <w:rsid w:val="68F714D3"/>
    <w:rsid w:val="69B38541"/>
    <w:rsid w:val="6A1A97CF"/>
    <w:rsid w:val="6AF49AED"/>
    <w:rsid w:val="6AF4CDBE"/>
    <w:rsid w:val="6B28B114"/>
    <w:rsid w:val="6B60E8C2"/>
    <w:rsid w:val="6B864380"/>
    <w:rsid w:val="6BCB3A6F"/>
    <w:rsid w:val="6C3965A2"/>
    <w:rsid w:val="6CA1A720"/>
    <w:rsid w:val="6D7CA65D"/>
    <w:rsid w:val="6E7855DB"/>
    <w:rsid w:val="6F3E83D4"/>
    <w:rsid w:val="6F7D20D4"/>
    <w:rsid w:val="6F97A9F7"/>
    <w:rsid w:val="6FE9EB41"/>
    <w:rsid w:val="703B9418"/>
    <w:rsid w:val="7059E774"/>
    <w:rsid w:val="715596F2"/>
    <w:rsid w:val="728CE47B"/>
    <w:rsid w:val="72DBFD9C"/>
    <w:rsid w:val="73EF41E0"/>
    <w:rsid w:val="747473FE"/>
    <w:rsid w:val="758A98D7"/>
    <w:rsid w:val="76FC7F6E"/>
    <w:rsid w:val="77F82EEC"/>
    <w:rsid w:val="7AEA4147"/>
    <w:rsid w:val="7B023AB4"/>
    <w:rsid w:val="7C86DBF1"/>
    <w:rsid w:val="7CB0A7AD"/>
    <w:rsid w:val="7D32435E"/>
    <w:rsid w:val="7D83EC35"/>
    <w:rsid w:val="7D9A84DC"/>
    <w:rsid w:val="7DA23F91"/>
    <w:rsid w:val="7E728524"/>
    <w:rsid w:val="7E72E9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C4115"/>
  <w15:docId w15:val="{1FDD85F8-CAB8-4D08-BE7A-9701AC80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0"/>
      <w:outlineLvl w:val="0"/>
    </w:pPr>
    <w:rPr>
      <w:b/>
      <w:bCs/>
      <w:sz w:val="36"/>
      <w:szCs w:val="36"/>
    </w:rPr>
  </w:style>
  <w:style w:type="paragraph" w:styleId="Heading2">
    <w:name w:val="heading 2"/>
    <w:basedOn w:val="Normal"/>
    <w:uiPriority w:val="9"/>
    <w:unhideWhenUsed/>
    <w:qFormat/>
    <w:pPr>
      <w:spacing w:before="44"/>
      <w:ind w:right="1006"/>
      <w:jc w:val="right"/>
      <w:outlineLvl w:val="1"/>
    </w:pPr>
    <w:rPr>
      <w:b/>
      <w:bCs/>
      <w:sz w:val="28"/>
      <w:szCs w:val="28"/>
    </w:rPr>
  </w:style>
  <w:style w:type="paragraph" w:styleId="Heading3">
    <w:name w:val="heading 3"/>
    <w:basedOn w:val="Normal"/>
    <w:uiPriority w:val="9"/>
    <w:unhideWhenUsed/>
    <w:qFormat/>
    <w:pPr>
      <w:spacing w:before="159"/>
      <w:ind w:left="1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0"/>
      <w:ind w:left="1200"/>
    </w:pPr>
    <w:rPr>
      <w:sz w:val="28"/>
      <w:szCs w:val="28"/>
    </w:rPr>
  </w:style>
  <w:style w:type="paragraph" w:styleId="BodyText">
    <w:name w:val="Body Text"/>
    <w:basedOn w:val="Normal"/>
    <w:uiPriority w:val="1"/>
    <w:qFormat/>
  </w:style>
  <w:style w:type="paragraph" w:styleId="ListParagraph">
    <w:name w:val="List Paragraph"/>
    <w:basedOn w:val="Normal"/>
    <w:uiPriority w:val="1"/>
    <w:qFormat/>
    <w:pPr>
      <w:spacing w:before="159"/>
      <w:ind w:left="2326" w:hanging="36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ED43E5"/>
    <w:pPr>
      <w:tabs>
        <w:tab w:val="center" w:pos="4513"/>
        <w:tab w:val="right" w:pos="9026"/>
      </w:tabs>
    </w:pPr>
  </w:style>
  <w:style w:type="character" w:customStyle="1" w:styleId="HeaderChar">
    <w:name w:val="Header Char"/>
    <w:basedOn w:val="DefaultParagraphFont"/>
    <w:link w:val="Header"/>
    <w:uiPriority w:val="99"/>
    <w:rsid w:val="00ED43E5"/>
    <w:rPr>
      <w:rFonts w:ascii="Calibri" w:eastAsia="Calibri" w:hAnsi="Calibri" w:cs="Calibri"/>
    </w:rPr>
  </w:style>
  <w:style w:type="paragraph" w:styleId="Footer">
    <w:name w:val="footer"/>
    <w:basedOn w:val="Normal"/>
    <w:link w:val="FooterChar"/>
    <w:uiPriority w:val="99"/>
    <w:unhideWhenUsed/>
    <w:rsid w:val="00ED43E5"/>
    <w:pPr>
      <w:tabs>
        <w:tab w:val="center" w:pos="4513"/>
        <w:tab w:val="right" w:pos="9026"/>
      </w:tabs>
    </w:pPr>
  </w:style>
  <w:style w:type="character" w:customStyle="1" w:styleId="FooterChar">
    <w:name w:val="Footer Char"/>
    <w:basedOn w:val="DefaultParagraphFont"/>
    <w:link w:val="Footer"/>
    <w:uiPriority w:val="99"/>
    <w:rsid w:val="00ED43E5"/>
    <w:rPr>
      <w:rFonts w:ascii="Calibri" w:eastAsia="Calibri" w:hAnsi="Calibri" w:cs="Calibri"/>
    </w:rPr>
  </w:style>
  <w:style w:type="character" w:styleId="CommentReference">
    <w:name w:val="annotation reference"/>
    <w:basedOn w:val="DefaultParagraphFont"/>
    <w:uiPriority w:val="99"/>
    <w:semiHidden/>
    <w:unhideWhenUsed/>
    <w:rsid w:val="00A81A67"/>
    <w:rPr>
      <w:sz w:val="16"/>
      <w:szCs w:val="16"/>
    </w:rPr>
  </w:style>
  <w:style w:type="paragraph" w:styleId="CommentText">
    <w:name w:val="annotation text"/>
    <w:basedOn w:val="Normal"/>
    <w:link w:val="CommentTextChar"/>
    <w:uiPriority w:val="99"/>
    <w:semiHidden/>
    <w:unhideWhenUsed/>
    <w:rsid w:val="00A81A67"/>
    <w:rPr>
      <w:sz w:val="20"/>
      <w:szCs w:val="20"/>
    </w:rPr>
  </w:style>
  <w:style w:type="character" w:customStyle="1" w:styleId="CommentTextChar">
    <w:name w:val="Comment Text Char"/>
    <w:basedOn w:val="DefaultParagraphFont"/>
    <w:link w:val="CommentText"/>
    <w:uiPriority w:val="99"/>
    <w:semiHidden/>
    <w:rsid w:val="00A81A6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81A67"/>
    <w:rPr>
      <w:b/>
      <w:bCs/>
    </w:rPr>
  </w:style>
  <w:style w:type="character" w:customStyle="1" w:styleId="CommentSubjectChar">
    <w:name w:val="Comment Subject Char"/>
    <w:basedOn w:val="CommentTextChar"/>
    <w:link w:val="CommentSubject"/>
    <w:uiPriority w:val="99"/>
    <w:semiHidden/>
    <w:rsid w:val="00A81A67"/>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ncashire.police.uk/about-us/accessing-information/north-west-regional-police-pension-board/board-documen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ncashire.police.uk/about-us/accessing-information/north-west-regional-police-pension-board/board-document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4A73F-FEC8-4D08-8F93-7E14BCA3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2019North West Police Pensions Board (NWPPB)</dc:title>
  <dc:subject>Annual Report 2019</dc:subject>
  <dc:creator>Moira Portman</dc:creator>
  <cp:keywords/>
  <cp:lastModifiedBy>Tara Jones</cp:lastModifiedBy>
  <cp:revision>23</cp:revision>
  <cp:lastPrinted>2022-09-12T13:13:00Z</cp:lastPrinted>
  <dcterms:created xsi:type="dcterms:W3CDTF">2022-09-14T08:59:00Z</dcterms:created>
  <dcterms:modified xsi:type="dcterms:W3CDTF">2022-11-23T15:51:00Z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Microsoft® Word 2019</vt:lpwstr>
  </property>
  <property fmtid="{D5CDD505-2E9C-101B-9397-08002B2CF9AE}" pid="4" name="LastSaved">
    <vt:filetime>2022-09-12T00:00:00Z</vt:filetime>
  </property>
  <property fmtid="{D5CDD505-2E9C-101B-9397-08002B2CF9AE}" pid="5" name="Producer">
    <vt:lpwstr>Microsoft® Word 2019</vt:lpwstr>
  </property>
  <property fmtid="{D5CDD505-2E9C-101B-9397-08002B2CF9AE}" pid="6" name="MSIP_Label_10d1d2b3-a197-42d7-b358-c1158cbf4b6b_Enabled">
    <vt:lpwstr>true</vt:lpwstr>
  </property>
  <property fmtid="{D5CDD505-2E9C-101B-9397-08002B2CF9AE}" pid="7" name="MSIP_Label_10d1d2b3-a197-42d7-b358-c1158cbf4b6b_SetDate">
    <vt:lpwstr>2022-09-12T10:37:22Z</vt:lpwstr>
  </property>
  <property fmtid="{D5CDD505-2E9C-101B-9397-08002B2CF9AE}" pid="8" name="MSIP_Label_10d1d2b3-a197-42d7-b358-c1158cbf4b6b_Method">
    <vt:lpwstr>Standard</vt:lpwstr>
  </property>
  <property fmtid="{D5CDD505-2E9C-101B-9397-08002B2CF9AE}" pid="9" name="MSIP_Label_10d1d2b3-a197-42d7-b358-c1158cbf4b6b_Name">
    <vt:lpwstr>OFFICIAL</vt:lpwstr>
  </property>
  <property fmtid="{D5CDD505-2E9C-101B-9397-08002B2CF9AE}" pid="10" name="MSIP_Label_10d1d2b3-a197-42d7-b358-c1158cbf4b6b_SiteId">
    <vt:lpwstr>dcb8a542-c40d-46ab-8f73-e6023f45c7c5</vt:lpwstr>
  </property>
  <property fmtid="{D5CDD505-2E9C-101B-9397-08002B2CF9AE}" pid="11" name="MSIP_Label_10d1d2b3-a197-42d7-b358-c1158cbf4b6b_ActionId">
    <vt:lpwstr>6f7458c2-e4e7-464c-a733-feb82720de35</vt:lpwstr>
  </property>
  <property fmtid="{D5CDD505-2E9C-101B-9397-08002B2CF9AE}" pid="12" name="MSIP_Label_10d1d2b3-a197-42d7-b358-c1158cbf4b6b_ContentBits">
    <vt:lpwstr>0</vt:lpwstr>
  </property>
</Properties>
</file>